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numbering.xml" ContentType="application/vnd.openxmlformats-officedocument.wordprocessingml.numbering+xml"/>
  <Override PartName="/word/glossary/styles.xml" ContentType="application/vnd.openxmlformats-officedocument.wordprocessingml.styles+xml"/>
  <Override PartName="/word/glossary/document.xml" ContentType="application/vnd.openxmlformats-officedocument.wordprocessingml.document.glossary+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Arial" w:hAnsi="Arial" w:cs="Arial"/>
          <w:color w:val="auto"/>
          <w:szCs w:val="21"/>
          <w:highlight w:val="none"/>
        </w:rPr>
      </w:pPr>
      <w:r>
        <w:rPr>
          <w:rFonts w:ascii="Arial" w:hAnsi="Arial" w:cs="Arial"/>
          <w:color w:val="auto"/>
          <w:szCs w:val="21"/>
          <w:highlight w:val="none"/>
        </w:rPr>
      </w:r>
      <w:r/>
    </w:p>
    <w:p>
      <w:pPr>
        <w:ind w:firstLine="372"/>
        <w:jc w:val="left"/>
        <w:spacing w:line="520" w:lineRule="atLeast"/>
        <w:widowControl/>
        <w:rPr>
          <w:rFonts w:ascii="Arial" w:hAnsi="Arial" w:cs="Arial"/>
          <w:color w:val="auto"/>
          <w:szCs w:val="21"/>
          <w:highlight w:val="none"/>
        </w:rPr>
      </w:pPr>
      <w:r>
        <w:rPr>
          <w:rFonts w:ascii="Arial" w:hAnsi="Arial" w:cs="Arial"/>
          <w:color w:val="auto"/>
          <w:szCs w:val="21"/>
          <w:highlight w:val="none"/>
        </w:rPr>
      </w:r>
      <w:r/>
    </w:p>
    <w:p>
      <w:pPr>
        <w:ind w:firstLine="0"/>
        <w:jc w:val="center"/>
        <w:spacing w:before="120" w:after="120" w:line="360" w:lineRule="auto"/>
        <w:rPr>
          <w:rFonts w:hint="eastAsia" w:ascii="黑体" w:hAnsi="黑体" w:eastAsia="黑体" w:cs="黑体"/>
          <w:b/>
          <w:bCs/>
          <w:color w:val="auto"/>
          <w:sz w:val="84"/>
          <w:szCs w:val="24"/>
          <w:highlight w:val="none"/>
          <w:lang w:val="en-US" w:eastAsia="zh-CN" w:bidi="ar-SA"/>
        </w:rPr>
      </w:pPr>
      <w:r>
        <w:rPr>
          <w:rFonts w:hint="eastAsia" w:ascii="黑体" w:hAnsi="黑体" w:eastAsia="黑体" w:cs="黑体"/>
          <w:b/>
          <w:bCs/>
          <w:color w:val="auto"/>
          <w:sz w:val="84"/>
          <w:szCs w:val="24"/>
          <w:highlight w:val="none"/>
          <w:lang w:val="en-US" w:eastAsia="zh-CN" w:bidi="ar-SA"/>
        </w:rPr>
        <w:t xml:space="preserve">招 标 文 件</w:t>
      </w:r>
      <w:r/>
    </w:p>
    <w:p>
      <w:pPr>
        <w:ind w:firstLine="0"/>
        <w:jc w:val="center"/>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t xml:space="preserve">项目名称：</w:t>
      </w:r>
      <w:bookmarkStart w:id="0" w:name="_Hlk154389994"/>
      <w:r>
        <w:rPr>
          <w:rFonts w:hint="eastAsia" w:ascii="楷体" w:hAnsi="楷体" w:eastAsia="楷体" w:cs="楷体"/>
          <w:b/>
          <w:color w:val="auto"/>
          <w:sz w:val="36"/>
          <w:szCs w:val="36"/>
          <w:highlight w:val="none"/>
          <w:lang w:val="en-US" w:eastAsia="zh-CN" w:bidi="ar-SA"/>
        </w:rPr>
        <w:t xml:space="preserve">南京市鼓楼区电子政务外网升级改造项目</w:t>
      </w:r>
      <w:bookmarkEnd w:id="0"/>
      <w:r/>
      <w:r/>
    </w:p>
    <w:p>
      <w:pPr>
        <w:ind w:firstLine="1807"/>
        <w:jc w:val="both"/>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t xml:space="preserve">项目编号：SJY-20251111-035</w:t>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476885</wp:posOffset>
                </wp:positionH>
                <wp:positionV relativeFrom="paragraph">
                  <wp:posOffset>87630</wp:posOffset>
                </wp:positionV>
                <wp:extent cx="4636135" cy="3012440"/>
                <wp:effectExtent l="0" t="0" r="2540" b="6985"/>
                <wp:wrapNone/>
                <wp:docPr id="2"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26" descr="4a7a4c49674cf03eb7e28cd4ee56c7e"/>
                        <pic:cNvPicPr>
                          <a:picLocks noChangeAspect="1"/>
                        </pic:cNvPicPr>
                        <pic:nvPr/>
                      </pic:nvPicPr>
                      <pic:blipFill>
                        <a:blip r:embed="rId16"/>
                        <a:stretch/>
                      </pic:blipFill>
                      <pic:spPr bwMode="auto">
                        <a:xfrm>
                          <a:off x="0" y="0"/>
                          <a:ext cx="4636135" cy="301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7.5pt;mso-position-horizontal:absolute;mso-position-vertical-relative:text;margin-top:6.9pt;mso-position-vertical:absolute;width:365.0pt;height:237.2pt;mso-wrap-distance-left:9.0pt;mso-wrap-distance-top:0.0pt;mso-wrap-distance-right:9.0pt;mso-wrap-distance-bottom:0.0pt;" stroked="f">
                <v:path textboxrect="0,0,0,0"/>
                <v:imagedata r:id="rId16" o:title=""/>
              </v:shape>
            </w:pict>
          </mc:Fallback>
        </mc:AlternateContent>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t xml:space="preserve">招标人：南京市鼓楼区数据局</w:t>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t xml:space="preserve">招标代理机构：中通服咨询设计研究院有限公司</w:t>
      </w:r>
      <w:r/>
    </w:p>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30"/>
          <w:szCs w:val="30"/>
          <w:highlight w:val="none"/>
          <w:lang w:val="en-US" w:eastAsia="zh-CN" w:bidi="ar-SA"/>
        </w:rPr>
        <w:t xml:space="preserve">2025年11月</w:t>
      </w:r>
      <w:r/>
    </w:p>
    <w:p>
      <w:pPr>
        <w:jc w:val="center"/>
        <w:widowControl/>
        <w:rPr>
          <w:color w:val="auto"/>
          <w:highlight w:val="none"/>
        </w:rPr>
        <w:sectPr>
          <w:footnotePr/>
          <w:endnotePr/>
          <w:type w:val="nextPage"/>
          <w:pgSz w:w="11906" w:h="16838" w:orient="portrait"/>
          <w:pgMar w:top="1418" w:right="1418" w:bottom="1418" w:left="1701" w:header="851" w:footer="992" w:gutter="0"/>
          <w:cols w:num="1" w:sep="0" w:space="425" w:equalWidth="1"/>
          <w:docGrid w:linePitch="360"/>
        </w:sectPr>
      </w:pPr>
      <w:r>
        <w:rPr>
          <w:rFonts w:hint="default" w:ascii="Calibri" w:hAnsi="Calibri"/>
          <w:color w:val="auto"/>
          <w:szCs w:val="22"/>
          <w:highlight w:val="none"/>
          <w:lang w:val="en-US" w:eastAsia="zh-CN" w:bidi="ar-SA"/>
        </w:rPr>
        <mc:AlternateContent>
          <mc:Choice Requires="wpg">
            <w:drawing>
              <wp:inline xmlns:wp="http://schemas.openxmlformats.org/drawingml/2006/wordprocessingDrawing" distT="0" distB="0" distL="0" distR="0">
                <wp:extent cx="1706880" cy="614045"/>
                <wp:effectExtent l="0" t="0" r="7620"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1706880" cy="614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4.4pt;height:48.3pt;mso-wrap-distance-left:0.0pt;mso-wrap-distance-top:0.0pt;mso-wrap-distance-right:0.0pt;mso-wrap-distance-bottom:0.0pt;" stroked="f">
                <v:path textboxrect="0,0,0,0"/>
                <v:imagedata r:id="rId17" o:title=""/>
              </v:shape>
            </w:pict>
          </mc:Fallback>
        </mc:AlternateContent>
      </w:r>
      <w:r/>
    </w:p>
    <w:p>
      <w:pPr>
        <w:ind w:firstLine="569"/>
        <w:jc w:val="center"/>
        <w:spacing w:line="500" w:lineRule="exact"/>
        <w:rPr>
          <w:rFonts w:ascii="Arial" w:hAnsi="Arial" w:cs="Arial"/>
          <w:b/>
          <w:color w:val="auto"/>
          <w:sz w:val="32"/>
          <w:szCs w:val="32"/>
          <w:highlight w:val="none"/>
        </w:rPr>
      </w:pPr>
      <w:r/>
      <w:bookmarkStart w:id="1" w:name="_Toc80264696"/>
      <w:r/>
      <w:bookmarkStart w:id="2" w:name="_Toc531620161"/>
      <w:r>
        <w:rPr>
          <w:rFonts w:ascii="Arial" w:hAnsi="Arial" w:cs="Arial"/>
          <w:b/>
          <w:color w:val="auto"/>
          <w:sz w:val="32"/>
          <w:szCs w:val="32"/>
          <w:highlight w:val="none"/>
        </w:rPr>
        <w:t xml:space="preserve">目   录</w:t>
      </w:r>
      <w:r/>
    </w:p>
    <w:p>
      <w:pPr>
        <w:pStyle w:val="946"/>
        <w:ind w:firstLine="426"/>
        <w:spacing w:line="360" w:lineRule="auto"/>
        <w:tabs>
          <w:tab w:val="right" w:pos="8834" w:leader="dot"/>
        </w:tabs>
        <w:rPr>
          <w:rFonts w:ascii="Arial" w:hAnsi="Arial" w:eastAsia="宋体" w:cs="Arial"/>
          <w:b/>
          <w:color w:val="auto"/>
          <w:sz w:val="21"/>
          <w:szCs w:val="22"/>
          <w:highlight w:val="none"/>
        </w:rPr>
      </w:pPr>
      <w:r>
        <w:rPr>
          <w:rFonts w:ascii="Arial" w:hAnsi="Arial" w:eastAsia="宋体" w:cs="Arial"/>
          <w:b/>
          <w:color w:val="auto"/>
          <w:highlight w:val="none"/>
        </w:rPr>
        <w:fldChar w:fldCharType="begin"/>
      </w:r>
      <w:r>
        <w:rPr>
          <w:rFonts w:ascii="Arial" w:hAnsi="Arial" w:eastAsia="宋体" w:cs="Arial"/>
          <w:b/>
          <w:color w:val="auto"/>
          <w:highlight w:val="none"/>
        </w:rPr>
        <w:instrText xml:space="preserve"> TOC \o "1-3" \h \z \u </w:instrText>
      </w:r>
      <w:r>
        <w:rPr>
          <w:rFonts w:ascii="Arial" w:hAnsi="Arial" w:eastAsia="宋体" w:cs="Arial"/>
          <w:b/>
          <w:color w:val="auto"/>
          <w:highlight w:val="none"/>
        </w:rPr>
        <w:fldChar w:fldCharType="separate"/>
      </w:r>
      <w:r/>
    </w:p>
    <w:p>
      <w:pPr>
        <w:pStyle w:val="946"/>
        <w:spacing w:line="360" w:lineRule="auto"/>
        <w:tabs>
          <w:tab w:val="left" w:pos="780" w:leader="none"/>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"_Toc107246211" \o "#_Toc107246211" </w:instrText>
      </w:r>
      <w:r>
        <w:rPr>
          <w:color w:val="auto"/>
          <w:highlight w:val="none"/>
        </w:rPr>
        <w:fldChar w:fldCharType="separate"/>
      </w:r>
      <w:r>
        <w:rPr>
          <w:rStyle w:val="746"/>
          <w:rFonts w:ascii="Arial" w:hAnsi="Arial" w:eastAsia="宋体" w:cs="Arial"/>
          <w:b/>
          <w:color w:val="auto"/>
          <w:highlight w:val="none"/>
        </w:rPr>
        <w:t xml:space="preserve">第一章</w:t>
      </w:r>
      <w:r>
        <w:rPr>
          <w:rFonts w:ascii="Arial" w:hAnsi="Arial" w:eastAsia="宋体" w:cs="Arial"/>
          <w:b/>
          <w:color w:val="auto"/>
          <w:highlight w:val="none"/>
        </w:rPr>
        <w:tab/>
      </w:r>
      <w:r>
        <w:rPr>
          <w:rStyle w:val="746"/>
          <w:rFonts w:ascii="Arial" w:hAnsi="Arial" w:eastAsia="宋体" w:cs="Arial"/>
          <w:b/>
          <w:color w:val="auto"/>
          <w:highlight w:val="none"/>
        </w:rPr>
        <w:t xml:space="preserve">招标公告</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_Toc107246211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2</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left" w:pos="780" w:leader="none"/>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"_Toc107246212" \o "#_Toc107246212" </w:instrText>
      </w:r>
      <w:r>
        <w:rPr>
          <w:color w:val="auto"/>
          <w:highlight w:val="none"/>
        </w:rPr>
        <w:fldChar w:fldCharType="separate"/>
      </w:r>
      <w:r>
        <w:rPr>
          <w:rStyle w:val="746"/>
          <w:rFonts w:ascii="Arial" w:hAnsi="Arial" w:eastAsia="宋体" w:cs="Arial"/>
          <w:b/>
          <w:color w:val="auto"/>
          <w:highlight w:val="none"/>
        </w:rPr>
        <w:t xml:space="preserve">第二章</w:t>
      </w:r>
      <w:r>
        <w:rPr>
          <w:rFonts w:ascii="Arial" w:hAnsi="Arial" w:eastAsia="宋体" w:cs="Arial"/>
          <w:b/>
          <w:color w:val="auto"/>
          <w:highlight w:val="none"/>
        </w:rPr>
        <w:tab/>
      </w:r>
      <w:r>
        <w:rPr>
          <w:rStyle w:val="746"/>
          <w:rFonts w:ascii="Arial" w:hAnsi="Arial" w:eastAsia="宋体" w:cs="Arial"/>
          <w:b/>
          <w:color w:val="auto"/>
          <w:highlight w:val="none"/>
        </w:rPr>
        <w:t xml:space="preserve">投标人须知</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_Toc107246212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6</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"_Toc107246214" \o "#_Toc107246214" </w:instrText>
      </w:r>
      <w:r>
        <w:rPr>
          <w:color w:val="auto"/>
          <w:highlight w:val="none"/>
        </w:rPr>
        <w:fldChar w:fldCharType="separate"/>
      </w:r>
      <w:r>
        <w:rPr>
          <w:rStyle w:val="746"/>
          <w:rFonts w:ascii="Arial" w:hAnsi="Arial" w:eastAsia="宋体" w:cs="Arial"/>
          <w:b/>
          <w:color w:val="auto"/>
          <w:highlight w:val="none"/>
        </w:rPr>
        <w:t xml:space="preserve">一．总则</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_Toc107246214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9</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"_Toc107246230" \o "#_Toc107246230" </w:instrText>
      </w:r>
      <w:r>
        <w:rPr>
          <w:color w:val="auto"/>
          <w:highlight w:val="none"/>
        </w:rPr>
        <w:fldChar w:fldCharType="separate"/>
      </w:r>
      <w:r>
        <w:rPr>
          <w:rStyle w:val="746"/>
          <w:rFonts w:ascii="Arial" w:hAnsi="Arial" w:eastAsia="宋体" w:cs="Arial"/>
          <w:b/>
          <w:color w:val="auto"/>
          <w:highlight w:val="none"/>
        </w:rPr>
        <w:t xml:space="preserve">二．招标文件</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_Toc107246230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13</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"_Toc107246233" \o "#_Toc107246233" </w:instrText>
      </w:r>
      <w:r>
        <w:rPr>
          <w:color w:val="auto"/>
          <w:highlight w:val="none"/>
        </w:rPr>
        <w:fldChar w:fldCharType="separate"/>
      </w:r>
      <w:r>
        <w:rPr>
          <w:rStyle w:val="746"/>
          <w:rFonts w:ascii="Arial" w:hAnsi="Arial" w:eastAsia="宋体" w:cs="Arial"/>
          <w:b/>
          <w:color w:val="auto"/>
          <w:highlight w:val="none"/>
        </w:rPr>
        <w:t xml:space="preserve">三．投标文件</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_Toc107246233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14</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"_Toc107246240" \o "#_Toc107246240" </w:instrText>
      </w:r>
      <w:r>
        <w:rPr>
          <w:color w:val="auto"/>
          <w:highlight w:val="none"/>
        </w:rPr>
        <w:fldChar w:fldCharType="separate"/>
      </w:r>
      <w:r>
        <w:rPr>
          <w:rStyle w:val="746"/>
          <w:rFonts w:ascii="Arial" w:hAnsi="Arial" w:eastAsia="宋体" w:cs="Arial"/>
          <w:b/>
          <w:color w:val="auto"/>
          <w:highlight w:val="none"/>
        </w:rPr>
        <w:t xml:space="preserve">四．投标文件的递交</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_Toc107246240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17</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"_Toc107246245" \o "#_Toc107246245" </w:instrText>
      </w:r>
      <w:r>
        <w:rPr>
          <w:color w:val="auto"/>
          <w:highlight w:val="none"/>
        </w:rPr>
        <w:fldChar w:fldCharType="separate"/>
      </w:r>
      <w:r>
        <w:rPr>
          <w:rStyle w:val="746"/>
          <w:rFonts w:ascii="Arial" w:hAnsi="Arial" w:eastAsia="宋体" w:cs="Arial"/>
          <w:b/>
          <w:color w:val="auto"/>
          <w:highlight w:val="none"/>
        </w:rPr>
        <w:t xml:space="preserve">五．开标和评标</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_Toc107246245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18</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"_Toc107246257" \o "#_Toc107246257" </w:instrText>
      </w:r>
      <w:r>
        <w:rPr>
          <w:color w:val="auto"/>
          <w:highlight w:val="none"/>
        </w:rPr>
        <w:fldChar w:fldCharType="separate"/>
      </w:r>
      <w:r>
        <w:rPr>
          <w:rStyle w:val="746"/>
          <w:rFonts w:ascii="Arial" w:hAnsi="Arial" w:eastAsia="宋体" w:cs="Arial"/>
          <w:b/>
          <w:color w:val="auto"/>
          <w:highlight w:val="none"/>
        </w:rPr>
        <w:t xml:space="preserve">六．确定中标</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_Toc107246257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21</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"_Toc107246263" \o "#_Toc107246263" </w:instrText>
      </w:r>
      <w:r>
        <w:rPr>
          <w:color w:val="auto"/>
          <w:highlight w:val="none"/>
        </w:rPr>
        <w:fldChar w:fldCharType="separate"/>
      </w:r>
      <w:r>
        <w:rPr>
          <w:rStyle w:val="746"/>
          <w:rFonts w:ascii="Arial" w:hAnsi="Arial" w:eastAsia="宋体" w:cs="Arial"/>
          <w:b/>
          <w:color w:val="auto"/>
          <w:highlight w:val="none"/>
        </w:rPr>
        <w:t xml:space="preserve">七．询问与质疑</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_Toc107246263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23</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"_Toc107246266" \o "#_Toc107246266" </w:instrText>
      </w:r>
      <w:r>
        <w:rPr>
          <w:color w:val="auto"/>
          <w:highlight w:val="none"/>
        </w:rPr>
        <w:fldChar w:fldCharType="separate"/>
      </w:r>
      <w:r>
        <w:rPr>
          <w:rStyle w:val="746"/>
          <w:rFonts w:ascii="Arial" w:hAnsi="Arial" w:eastAsia="宋体" w:cs="Arial"/>
          <w:b/>
          <w:color w:val="auto"/>
          <w:highlight w:val="none"/>
        </w:rPr>
        <w:t xml:space="preserve">八．其他</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_Toc107246266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23</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"_Toc107246270" \o "#_Toc107246270" </w:instrText>
      </w:r>
      <w:r>
        <w:rPr>
          <w:color w:val="auto"/>
          <w:highlight w:val="none"/>
        </w:rPr>
        <w:fldChar w:fldCharType="separate"/>
      </w:r>
      <w:r>
        <w:rPr>
          <w:rStyle w:val="746"/>
          <w:rFonts w:ascii="Arial" w:hAnsi="Arial" w:eastAsia="宋体" w:cs="Arial"/>
          <w:b/>
          <w:color w:val="auto"/>
          <w:highlight w:val="none"/>
        </w:rPr>
        <w:t xml:space="preserve">第三章 政府采购合同条款及格式</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_Toc107246270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25</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"_Toc107246271" \o "#_Toc107246271" </w:instrText>
      </w:r>
      <w:r>
        <w:rPr>
          <w:color w:val="auto"/>
          <w:highlight w:val="none"/>
        </w:rPr>
        <w:fldChar w:fldCharType="separate"/>
      </w:r>
      <w:r>
        <w:rPr>
          <w:rStyle w:val="746"/>
          <w:rFonts w:ascii="Arial" w:hAnsi="Arial" w:eastAsia="宋体" w:cs="Arial"/>
          <w:b/>
          <w:color w:val="auto"/>
          <w:highlight w:val="none"/>
        </w:rPr>
        <w:t xml:space="preserve">第四章 采购需求</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_Toc107246271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31</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highlight w:val="none"/>
        </w:rPr>
      </w:pPr>
      <w:r>
        <w:rPr>
          <w:color w:val="auto"/>
          <w:highlight w:val="none"/>
        </w:rPr>
        <w:fldChar w:fldCharType="begin"/>
      </w:r>
      <w:r>
        <w:rPr>
          <w:color w:val="auto"/>
          <w:highlight w:val="none"/>
        </w:rPr>
        <w:instrText xml:space="preserve"> HYPERLINK \l "_Toc107246272" \o "#_Toc107246272" </w:instrText>
      </w:r>
      <w:r>
        <w:rPr>
          <w:color w:val="auto"/>
          <w:highlight w:val="none"/>
        </w:rPr>
        <w:fldChar w:fldCharType="separate"/>
      </w:r>
      <w:r>
        <w:rPr>
          <w:rStyle w:val="746"/>
          <w:rFonts w:ascii="Arial" w:hAnsi="Arial" w:eastAsia="宋体" w:cs="Arial"/>
          <w:b/>
          <w:color w:val="auto"/>
          <w:highlight w:val="none"/>
        </w:rPr>
        <w:t xml:space="preserve">第五章 评标方法与评标标准</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_Toc107246272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44</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pStyle w:val="946"/>
        <w:spacing w:line="360" w:lineRule="auto"/>
        <w:tabs>
          <w:tab w:val="right" w:pos="8834" w:leader="dot"/>
        </w:tabs>
        <w:rPr>
          <w:rFonts w:ascii="Arial" w:hAnsi="Arial" w:eastAsia="宋体" w:cs="Arial"/>
          <w:b/>
          <w:color w:val="auto"/>
          <w:sz w:val="21"/>
          <w:szCs w:val="22"/>
          <w:highlight w:val="none"/>
        </w:rPr>
      </w:pPr>
      <w:r>
        <w:rPr>
          <w:color w:val="auto"/>
          <w:highlight w:val="none"/>
        </w:rPr>
        <w:fldChar w:fldCharType="begin"/>
      </w:r>
      <w:r>
        <w:rPr>
          <w:color w:val="auto"/>
          <w:highlight w:val="none"/>
        </w:rPr>
        <w:instrText xml:space="preserve"> HYPERLINK \l "_Toc107246273" \o "#_Toc107246273" </w:instrText>
      </w:r>
      <w:r>
        <w:rPr>
          <w:color w:val="auto"/>
          <w:highlight w:val="none"/>
        </w:rPr>
        <w:fldChar w:fldCharType="separate"/>
      </w:r>
      <w:r>
        <w:rPr>
          <w:rStyle w:val="746"/>
          <w:rFonts w:ascii="Arial" w:hAnsi="Arial" w:eastAsia="宋体" w:cs="Arial"/>
          <w:b/>
          <w:color w:val="auto"/>
          <w:highlight w:val="none"/>
        </w:rPr>
        <w:t xml:space="preserve">第六章 投标文件格式</w:t>
      </w:r>
      <w:r>
        <w:rPr>
          <w:rFonts w:ascii="Arial" w:hAnsi="Arial" w:eastAsia="宋体" w:cs="Arial"/>
          <w:b/>
          <w:color w:val="auto"/>
          <w:highlight w:val="none"/>
        </w:rPr>
        <w:tab/>
      </w:r>
      <w:r>
        <w:rPr>
          <w:rFonts w:ascii="Arial" w:hAnsi="Arial" w:eastAsia="宋体" w:cs="Arial"/>
          <w:b/>
          <w:color w:val="auto"/>
          <w:highlight w:val="none"/>
        </w:rPr>
        <w:fldChar w:fldCharType="begin"/>
      </w:r>
      <w:r>
        <w:rPr>
          <w:rFonts w:ascii="Arial" w:hAnsi="Arial" w:eastAsia="宋体" w:cs="Arial"/>
          <w:b/>
          <w:color w:val="auto"/>
          <w:highlight w:val="none"/>
        </w:rPr>
        <w:instrText xml:space="preserve"> PAGEREF _Toc107246273 \h </w:instrText>
      </w:r>
      <w:r>
        <w:rPr>
          <w:rFonts w:ascii="Arial" w:hAnsi="Arial" w:eastAsia="宋体" w:cs="Arial"/>
          <w:b/>
          <w:color w:val="auto"/>
          <w:highlight w:val="none"/>
        </w:rPr>
        <w:fldChar w:fldCharType="separate"/>
      </w:r>
      <w:r>
        <w:rPr>
          <w:rFonts w:ascii="Arial" w:hAnsi="Arial" w:eastAsia="宋体" w:cs="Arial"/>
          <w:b/>
          <w:color w:val="auto"/>
          <w:highlight w:val="none"/>
        </w:rPr>
        <w:t xml:space="preserve">47</w:t>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rPr>
          <w:rFonts w:ascii="Arial" w:hAnsi="Arial" w:eastAsia="宋体" w:cs="Arial"/>
          <w:b/>
          <w:color w:val="auto"/>
          <w:highlight w:val="none"/>
        </w:rPr>
        <w:fldChar w:fldCharType="end"/>
      </w:r>
      <w:r/>
    </w:p>
    <w:p>
      <w:pPr>
        <w:ind w:firstLine="569"/>
        <w:spacing w:line="360" w:lineRule="auto"/>
        <w:rPr>
          <w:rFonts w:ascii="Arial" w:hAnsi="Arial" w:cs="Arial"/>
          <w:color w:val="auto"/>
          <w:highlight w:val="none"/>
        </w:rPr>
      </w:pPr>
      <w:r>
        <w:rPr>
          <w:rFonts w:ascii="Arial" w:hAnsi="Arial" w:cs="Arial"/>
          <w:b/>
          <w:bCs/>
          <w:color w:val="auto"/>
          <w:sz w:val="32"/>
          <w:highlight w:val="none"/>
          <w:lang w:val="zh-CN"/>
        </w:rPr>
        <w:br w:type="page" w:clear="all"/>
      </w:r>
      <w:bookmarkEnd w:id="1"/>
      <w:r/>
      <w:bookmarkEnd w:id="2"/>
      <w:r/>
      <w:r/>
    </w:p>
    <w:p>
      <w:pPr>
        <w:pStyle w:val="738"/>
        <w:ind w:firstLine="3213"/>
        <w:jc w:val="both"/>
        <w:rPr>
          <w:rFonts w:ascii="Arial" w:hAnsi="Arial" w:cs="Arial"/>
          <w:color w:val="auto"/>
          <w:highlight w:val="none"/>
        </w:rPr>
      </w:pPr>
      <w:r/>
      <w:bookmarkStart w:id="3" w:name="_Toc107246211"/>
      <w:r/>
      <w:bookmarkStart w:id="4" w:name="_Toc80264697"/>
      <w:r/>
      <w:bookmarkStart w:id="5" w:name="_Toc80792688"/>
      <w:r/>
      <w:bookmarkStart w:id="6" w:name="_Toc71561877"/>
      <w:r/>
      <w:bookmarkStart w:id="7" w:name="_Toc80264704"/>
      <w:r>
        <w:rPr>
          <w:rFonts w:ascii="Arial" w:hAnsi="Arial" w:cs="Arial"/>
          <w:color w:val="auto"/>
          <w:highlight w:val="none"/>
        </w:rPr>
        <w:t xml:space="preserve">第一章 招标公告</w:t>
      </w:r>
      <w:bookmarkEnd w:id="3"/>
      <w:r/>
      <w:r/>
    </w:p>
    <w:p>
      <w:pPr>
        <w:ind w:firstLine="420"/>
        <w:spacing w:line="360" w:lineRule="auto"/>
        <w:rPr>
          <w:rFonts w:ascii="Arial" w:hAnsi="Arial" w:cs="Arial"/>
          <w:bCs/>
          <w:color w:val="auto"/>
          <w:szCs w:val="21"/>
          <w:highlight w:val="none"/>
        </w:rPr>
        <w:pBdr>
          <w:top w:val="single" w:color="auto" w:sz="4" w:space="1"/>
          <w:left w:val="single" w:color="auto" w:sz="4" w:space="4"/>
          <w:bottom w:val="single" w:color="auto" w:sz="4" w:space="1"/>
          <w:right w:val="single" w:color="auto" w:sz="4" w:space="4"/>
        </w:pBdr>
      </w:pPr>
      <w:r>
        <w:rPr>
          <w:rFonts w:ascii="Arial" w:hAnsi="Arial" w:cs="Arial"/>
          <w:bCs/>
          <w:color w:val="auto"/>
          <w:szCs w:val="21"/>
          <w:highlight w:val="none"/>
        </w:rPr>
        <w:t xml:space="preserve">项目概况</w:t>
      </w:r>
      <w:r/>
    </w:p>
    <w:p>
      <w:pPr>
        <w:ind w:firstLine="420"/>
        <w:spacing w:line="360" w:lineRule="auto"/>
        <w:rPr>
          <w:rFonts w:ascii="Arial" w:hAnsi="Arial" w:cs="Arial"/>
          <w:bCs/>
          <w:color w:val="auto"/>
          <w:szCs w:val="21"/>
          <w:highlight w:val="none"/>
        </w:rPr>
        <w:pBdr>
          <w:top w:val="single" w:color="auto" w:sz="4" w:space="1"/>
          <w:left w:val="single" w:color="auto" w:sz="4" w:space="4"/>
          <w:bottom w:val="single" w:color="auto" w:sz="4" w:space="1"/>
          <w:right w:val="single" w:color="auto" w:sz="4" w:space="4"/>
        </w:pBdr>
      </w:pPr>
      <w:r/>
      <w:bookmarkStart w:id="8" w:name="_Hlk188536394"/>
      <w:r>
        <w:rPr>
          <w:rFonts w:ascii="Arial" w:hAnsi="Arial" w:cs="Arial"/>
          <w:bCs/>
          <w:color w:val="auto"/>
          <w:szCs w:val="21"/>
          <w:highlight w:val="none"/>
          <w:u w:val="single"/>
        </w:rPr>
        <w:t xml:space="preserve">南京市鼓楼区</w:t>
      </w:r>
      <w:bookmarkEnd w:id="8"/>
      <w:r>
        <w:rPr>
          <w:rFonts w:hint="eastAsia" w:ascii="Arial" w:hAnsi="Arial" w:eastAsia="宋体" w:cs="Arial"/>
          <w:bCs/>
          <w:color w:val="auto"/>
          <w:szCs w:val="21"/>
          <w:highlight w:val="none"/>
          <w:u w:val="single"/>
        </w:rPr>
        <w:t xml:space="preserve">电子政务外网</w:t>
      </w:r>
      <w:r>
        <w:rPr>
          <w:rFonts w:hint="eastAsia" w:ascii="Arial" w:hAnsi="Arial" w:cs="Arial"/>
          <w:bCs/>
          <w:color w:val="auto"/>
          <w:szCs w:val="21"/>
          <w:highlight w:val="none"/>
          <w:u w:val="single"/>
          <w:lang w:val="en-US" w:eastAsia="zh-CN"/>
        </w:rPr>
        <w:t xml:space="preserve">升级改造</w:t>
      </w:r>
      <w:r>
        <w:rPr>
          <w:rFonts w:hint="eastAsia" w:ascii="Arial" w:hAnsi="Arial" w:cs="Arial"/>
          <w:bCs/>
          <w:color w:val="auto"/>
          <w:szCs w:val="21"/>
          <w:highlight w:val="none"/>
          <w:u w:val="single"/>
        </w:rPr>
        <w:t xml:space="preserve">项目</w:t>
      </w:r>
      <w:r>
        <w:rPr>
          <w:rFonts w:ascii="Arial" w:hAnsi="Arial" w:cs="Arial"/>
          <w:bCs/>
          <w:color w:val="auto"/>
          <w:szCs w:val="21"/>
          <w:highlight w:val="none"/>
        </w:rPr>
        <w:t xml:space="preserve">的潜在投标人应在规定时间内通过</w:t>
      </w:r>
      <w:r>
        <w:rPr>
          <w:rFonts w:ascii="Arial" w:hAnsi="Arial" w:cs="Arial"/>
          <w:bCs/>
          <w:color w:val="auto"/>
          <w:szCs w:val="21"/>
          <w:highlight w:val="none"/>
          <w:u w:val="single"/>
        </w:rPr>
        <w:t xml:space="preserve">江苏政府采购网</w:t>
      </w:r>
      <w:r>
        <w:rPr>
          <w:rFonts w:ascii="Arial" w:hAnsi="Arial" w:cs="Arial"/>
          <w:bCs/>
          <w:color w:val="auto"/>
          <w:szCs w:val="21"/>
          <w:highlight w:val="none"/>
        </w:rPr>
        <w:t xml:space="preserve">获取招标文件，并于</w:t>
      </w:r>
      <w:r>
        <w:rPr>
          <w:rFonts w:ascii="Arial" w:hAnsi="Arial" w:cs="Arial"/>
          <w:bCs/>
          <w:color w:val="auto"/>
          <w:szCs w:val="21"/>
          <w:highlight w:val="none"/>
          <w:u w:val="single"/>
        </w:rPr>
        <w:t xml:space="preserve">2025年</w:t>
      </w:r>
      <w:r>
        <w:rPr>
          <w:rFonts w:hint="eastAsia" w:ascii="Arial" w:hAnsi="Arial" w:cs="Arial"/>
          <w:bCs/>
          <w:color w:val="auto"/>
          <w:szCs w:val="21"/>
          <w:highlight w:val="none"/>
          <w:u w:val="single"/>
          <w:lang w:val="en-US" w:eastAsia="zh-CN"/>
        </w:rPr>
        <w:t xml:space="preserve">12</w:t>
      </w:r>
      <w:r>
        <w:rPr>
          <w:rFonts w:ascii="Arial" w:hAnsi="Arial" w:cs="Arial"/>
          <w:bCs/>
          <w:color w:val="auto"/>
          <w:szCs w:val="21"/>
          <w:highlight w:val="none"/>
          <w:u w:val="single"/>
        </w:rPr>
        <w:t xml:space="preserve">月</w:t>
      </w:r>
      <w:r>
        <w:rPr>
          <w:rFonts w:hint="eastAsia" w:ascii="Arial" w:hAnsi="Arial" w:cs="Arial"/>
          <w:bCs/>
          <w:color w:val="auto"/>
          <w:szCs w:val="21"/>
          <w:highlight w:val="none"/>
          <w:u w:val="single"/>
          <w:lang w:val="en-US" w:eastAsia="zh-CN"/>
        </w:rPr>
        <w:t xml:space="preserve">8 </w:t>
      </w:r>
      <w:r>
        <w:rPr>
          <w:rFonts w:ascii="Arial" w:hAnsi="Arial" w:cs="Arial"/>
          <w:bCs/>
          <w:color w:val="auto"/>
          <w:szCs w:val="21"/>
          <w:highlight w:val="none"/>
          <w:u w:val="single"/>
        </w:rPr>
        <w:t xml:space="preserve">日</w:t>
      </w:r>
      <w:r>
        <w:rPr>
          <w:rFonts w:hint="eastAsia" w:ascii="Arial" w:hAnsi="Arial" w:cs="Arial"/>
          <w:bCs/>
          <w:color w:val="auto"/>
          <w:szCs w:val="21"/>
          <w:highlight w:val="none"/>
          <w:u w:val="single"/>
          <w:lang w:val="en-US" w:eastAsia="zh-CN"/>
        </w:rPr>
        <w:t xml:space="preserve">14</w:t>
      </w:r>
      <w:r>
        <w:rPr>
          <w:rFonts w:ascii="Arial" w:hAnsi="Arial" w:cs="Arial"/>
          <w:bCs/>
          <w:color w:val="auto"/>
          <w:szCs w:val="21"/>
          <w:highlight w:val="none"/>
          <w:u w:val="single"/>
        </w:rPr>
        <w:t xml:space="preserve">:00（北京时间</w:t>
      </w:r>
      <w:r>
        <w:rPr>
          <w:rFonts w:ascii="Arial" w:hAnsi="Arial" w:cs="Arial"/>
          <w:bCs/>
          <w:color w:val="auto"/>
          <w:szCs w:val="21"/>
          <w:highlight w:val="none"/>
        </w:rPr>
        <w:t xml:space="preserve">）前递交投标文件。</w:t>
      </w:r>
      <w:r/>
    </w:p>
    <w:p>
      <w:pPr>
        <w:ind w:firstLine="373"/>
        <w:keepLines w:val="0"/>
        <w:keepNext w:val="0"/>
        <w:pageBreakBefore w:val="0"/>
        <w:spacing w:line="440" w:lineRule="exact"/>
        <w:rPr>
          <w:rFonts w:hint="eastAsia" w:ascii="宋体" w:hAnsi="宋体" w:eastAsia="宋体" w:cs="宋体"/>
          <w:b/>
          <w:bCs/>
          <w:color w:val="auto"/>
          <w:sz w:val="21"/>
          <w:szCs w:val="21"/>
          <w:highlight w:val="none"/>
        </w:rPr>
      </w:pPr>
      <w:r/>
      <w:bookmarkStart w:id="9" w:name="_Toc93909065"/>
      <w:r/>
      <w:bookmarkStart w:id="10" w:name="_Toc96347851"/>
      <w:r>
        <w:rPr>
          <w:rFonts w:hint="eastAsia" w:ascii="宋体" w:hAnsi="宋体" w:eastAsia="宋体" w:cs="宋体"/>
          <w:b/>
          <w:bCs/>
          <w:color w:val="auto"/>
          <w:sz w:val="21"/>
          <w:szCs w:val="21"/>
          <w:highlight w:val="none"/>
        </w:rPr>
        <w:t xml:space="preserve">一、项目</w:t>
      </w:r>
      <w:bookmarkEnd w:id="4"/>
      <w:r>
        <w:rPr>
          <w:rFonts w:hint="eastAsia" w:ascii="宋体" w:hAnsi="宋体" w:eastAsia="宋体" w:cs="宋体"/>
          <w:b/>
          <w:bCs/>
          <w:color w:val="auto"/>
          <w:sz w:val="21"/>
          <w:szCs w:val="21"/>
          <w:highlight w:val="none"/>
        </w:rPr>
        <w:t xml:space="preserve">基本情况</w:t>
      </w:r>
      <w:bookmarkEnd w:id="5"/>
      <w:r/>
      <w:bookmarkEnd w:id="9"/>
      <w:r/>
      <w:bookmarkEnd w:id="10"/>
      <w:r/>
      <w:r/>
    </w:p>
    <w:p>
      <w:pPr>
        <w:ind w:firstLine="420"/>
        <w:keepLines w:val="0"/>
        <w:keepNext w:val="0"/>
        <w:pageBreakBefore w:val="0"/>
        <w:spacing w:line="44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1.1项目编号：SJY-20251111-035</w:t>
      </w:r>
      <w:r>
        <w:rPr>
          <w:rFonts w:hint="eastAsia" w:ascii="宋体" w:hAnsi="宋体" w:eastAsia="宋体" w:cs="宋体"/>
          <w:bCs/>
          <w:color w:val="auto"/>
          <w:sz w:val="21"/>
          <w:szCs w:val="21"/>
          <w:highlight w:val="none"/>
          <w:lang w:eastAsia="zh-CN"/>
        </w:rPr>
        <w:t xml:space="preserve"> </w:t>
      </w:r>
      <w:r/>
    </w:p>
    <w:p>
      <w:pPr>
        <w:ind w:firstLine="420"/>
        <w:keepLines w:val="0"/>
        <w:keepNext w:val="0"/>
        <w:pageBreakBefore w:val="0"/>
        <w:spacing w:line="44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1.2项目名称：</w:t>
      </w:r>
      <w:r>
        <w:rPr>
          <w:rFonts w:hint="eastAsia" w:ascii="宋体" w:hAnsi="宋体" w:eastAsia="宋体" w:cs="宋体"/>
          <w:bCs/>
          <w:color w:val="auto"/>
          <w:sz w:val="21"/>
          <w:szCs w:val="21"/>
          <w:highlight w:val="none"/>
          <w:lang w:eastAsia="zh-CN"/>
        </w:rPr>
        <w:t xml:space="preserve">南京市鼓楼区电子政务外网升级改造项目</w:t>
      </w:r>
      <w:r/>
    </w:p>
    <w:p>
      <w:pPr>
        <w:ind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1.3预算金额：本项目预算</w:t>
      </w:r>
      <w:r>
        <w:rPr>
          <w:rFonts w:hint="eastAsia" w:ascii="宋体" w:hAnsi="宋体" w:eastAsia="宋体" w:cs="宋体"/>
          <w:bCs/>
          <w:color w:val="auto"/>
          <w:sz w:val="21"/>
          <w:szCs w:val="21"/>
          <w:highlight w:val="none"/>
          <w:lang w:val="en-US" w:eastAsia="zh-CN"/>
        </w:rPr>
        <w:t xml:space="preserve">200万元</w:t>
      </w:r>
      <w:r>
        <w:rPr>
          <w:rFonts w:hint="eastAsia" w:ascii="宋体" w:hAnsi="宋体" w:eastAsia="宋体" w:cs="宋体"/>
          <w:bCs/>
          <w:color w:val="auto"/>
          <w:sz w:val="21"/>
          <w:szCs w:val="21"/>
          <w:highlight w:val="none"/>
        </w:rPr>
        <w:t xml:space="preserve">。</w:t>
      </w:r>
      <w:r/>
    </w:p>
    <w:p>
      <w:pPr>
        <w:ind w:firstLine="422"/>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1.4最高限价：</w:t>
      </w:r>
      <w:sdt>
        <w:sdtPr>
          <w15:appearance w15:val="boundingBox"/>
          <w:id w:val="147480861"/>
          <w:placeholder>
            <w:docPart w:val="{293bd950-0d36-4f31-8531-3a305d7a1ad8}"/>
          </w:placeholder>
          <w:rPr>
            <w:rFonts w:hint="eastAsia" w:ascii="宋体" w:hAnsi="宋体" w:eastAsia="宋体" w:cs="宋体"/>
            <w:b w:val="0"/>
            <w:bCs/>
            <w:color w:val="auto"/>
            <w:sz w:val="21"/>
            <w:szCs w:val="21"/>
            <w:highlight w:val="none"/>
          </w:rPr>
        </w:sdtPr>
        <w:sdtContent>
          <w:r>
            <w:rPr>
              <w:rFonts w:hint="eastAsia" w:ascii="宋体" w:hAnsi="宋体" w:eastAsia="宋体" w:cs="宋体"/>
              <w:b w:val="0"/>
              <w:bCs/>
              <w:color w:val="auto"/>
              <w:sz w:val="21"/>
              <w:szCs w:val="21"/>
              <w:highlight w:val="none"/>
            </w:rPr>
            <w:t xml:space="preserve">本项目投标总价不得高于人民币</w:t>
          </w:r>
          <w:r>
            <w:rPr>
              <w:rFonts w:hint="eastAsia" w:ascii="宋体" w:hAnsi="宋体" w:eastAsia="宋体" w:cs="宋体"/>
              <w:b w:val="0"/>
              <w:bCs/>
              <w:color w:val="auto"/>
              <w:sz w:val="21"/>
              <w:szCs w:val="21"/>
              <w:highlight w:val="none"/>
              <w:lang w:val="en-US" w:eastAsia="zh-CN"/>
            </w:rPr>
            <w:t xml:space="preserve">200</w:t>
          </w:r>
          <w:r>
            <w:rPr>
              <w:rFonts w:hint="eastAsia" w:ascii="宋体" w:hAnsi="宋体" w:eastAsia="宋体" w:cs="宋体"/>
              <w:b w:val="0"/>
              <w:bCs/>
              <w:color w:val="auto"/>
              <w:sz w:val="21"/>
              <w:szCs w:val="21"/>
              <w:highlight w:val="none"/>
            </w:rPr>
            <w:t xml:space="preserve">万元（供应商投标报价不得超过上述限价金额，否则将作无效标处理）。</w:t>
          </w:r>
        </w:sdtContent>
      </w:sdt>
      <w:r/>
      <w:r/>
    </w:p>
    <w:p>
      <w:pPr>
        <w:ind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按照省、市要求，升级改造鼓楼区电子政务外网，完成后具有全业务、全用户、多形态、高并发、高带宽的特征，具备高适应性、高稳定性和高安全性。实现网络承载能力、业务支撑能力、统一管理能力和安全保障能力的质态跃升，形成统一调度、全域感知、敏捷响应的新型网络管理体系</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具体要求详见招标文件第四章《采购需求》。</w:t>
      </w:r>
      <w:r/>
    </w:p>
    <w:p>
      <w:pPr>
        <w:ind w:firstLine="420"/>
        <w:keepLines w:val="0"/>
        <w:keepNext w:val="0"/>
        <w:pageBreakBefore w:val="0"/>
        <w:spacing w:line="44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1.6合同履行期限：36个月。</w:t>
      </w:r>
      <w:r/>
    </w:p>
    <w:p>
      <w:pPr>
        <w:ind w:firstLine="420"/>
        <w:keepLines w:val="0"/>
        <w:keepNext w:val="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1.7本项目采购标的所属行业为：租赁和商务服务业。</w:t>
      </w:r>
      <w:r/>
    </w:p>
    <w:p>
      <w:pPr>
        <w:ind w:firstLine="373"/>
        <w:keepLines w:val="0"/>
        <w:keepNext w:val="0"/>
        <w:pageBreakBefore w:val="0"/>
        <w:spacing w:line="440" w:lineRule="exact"/>
        <w:rPr>
          <w:rFonts w:hint="eastAsia" w:ascii="宋体" w:hAnsi="宋体" w:eastAsia="宋体" w:cs="宋体"/>
          <w:b/>
          <w:bCs/>
          <w:color w:val="auto"/>
          <w:sz w:val="21"/>
          <w:szCs w:val="21"/>
          <w:highlight w:val="none"/>
        </w:rPr>
      </w:pPr>
      <w:r/>
      <w:bookmarkStart w:id="11" w:name="_Toc80264698"/>
      <w:r/>
      <w:bookmarkStart w:id="12" w:name="_Toc93909066"/>
      <w:r/>
      <w:bookmarkStart w:id="13" w:name="_Toc80792689"/>
      <w:r/>
      <w:bookmarkStart w:id="14" w:name="_Toc96347852"/>
      <w:r>
        <w:rPr>
          <w:rFonts w:hint="eastAsia" w:ascii="宋体" w:hAnsi="宋体" w:eastAsia="宋体" w:cs="宋体"/>
          <w:b/>
          <w:bCs/>
          <w:color w:val="auto"/>
          <w:sz w:val="21"/>
          <w:szCs w:val="21"/>
          <w:highlight w:val="none"/>
        </w:rPr>
        <w:t xml:space="preserve">二、</w:t>
      </w:r>
      <w:bookmarkEnd w:id="11"/>
      <w:r>
        <w:rPr>
          <w:rFonts w:hint="eastAsia" w:ascii="宋体" w:hAnsi="宋体" w:eastAsia="宋体" w:cs="宋体"/>
          <w:b/>
          <w:bCs/>
          <w:color w:val="auto"/>
          <w:sz w:val="21"/>
          <w:szCs w:val="21"/>
          <w:highlight w:val="none"/>
        </w:rPr>
        <w:t xml:space="preserve">申请人的资格要求</w:t>
      </w:r>
      <w:bookmarkEnd w:id="12"/>
      <w:r/>
      <w:bookmarkEnd w:id="13"/>
      <w:r>
        <w:rPr>
          <w:rFonts w:hint="eastAsia" w:ascii="宋体" w:hAnsi="宋体" w:eastAsia="宋体" w:cs="宋体"/>
          <w:b/>
          <w:bCs/>
          <w:color w:val="auto"/>
          <w:sz w:val="21"/>
          <w:szCs w:val="21"/>
          <w:highlight w:val="none"/>
        </w:rPr>
        <w:t xml:space="preserve">：</w:t>
      </w:r>
      <w:bookmarkEnd w:id="14"/>
      <w:r/>
      <w:r/>
    </w:p>
    <w:p>
      <w:pPr>
        <w:ind w:firstLine="420"/>
        <w:keepLines w:val="0"/>
        <w:keepNext w:val="0"/>
        <w:pageBreakBefore w:val="0"/>
        <w:spacing w:line="440" w:lineRule="exact"/>
        <w:rPr>
          <w:rFonts w:hint="eastAsia" w:ascii="宋体" w:hAnsi="宋体" w:eastAsia="宋体" w:cs="宋体"/>
          <w:b w:val="0"/>
          <w:bCs/>
          <w:color w:val="auto"/>
          <w:sz w:val="21"/>
          <w:szCs w:val="21"/>
          <w:highlight w:val="none"/>
        </w:rPr>
      </w:pPr>
      <w:r/>
      <w:bookmarkStart w:id="15" w:name="_Toc80264699"/>
      <w:r/>
      <w:bookmarkStart w:id="16" w:name="_Toc93909067"/>
      <w:r/>
      <w:bookmarkStart w:id="17" w:name="_Toc96347853"/>
      <w:r/>
      <w:bookmarkStart w:id="18" w:name="_Toc80792690"/>
      <w:r>
        <w:rPr>
          <w:rFonts w:hint="eastAsia" w:ascii="宋体" w:hAnsi="宋体" w:eastAsia="宋体" w:cs="宋体"/>
          <w:b w:val="0"/>
          <w:bCs/>
          <w:color w:val="auto"/>
          <w:sz w:val="21"/>
          <w:szCs w:val="21"/>
          <w:highlight w:val="none"/>
          <w:lang w:val="en-US" w:eastAsia="zh-CN"/>
        </w:rPr>
        <w:t xml:space="preserve">2.1</w:t>
      </w:r>
      <w:r>
        <w:rPr>
          <w:rFonts w:hint="eastAsia" w:ascii="宋体" w:hAnsi="宋体" w:eastAsia="宋体" w:cs="宋体"/>
          <w:b w:val="0"/>
          <w:bCs/>
          <w:color w:val="auto"/>
          <w:sz w:val="21"/>
          <w:szCs w:val="21"/>
          <w:highlight w:val="none"/>
        </w:rPr>
        <w:t xml:space="preserve">满足《中华人民共和国政府采购法》第二十二条规定：</w:t>
      </w:r>
      <w:r/>
    </w:p>
    <w:p>
      <w:pPr>
        <w:ind w:firstLine="373"/>
        <w:keepLines w:val="0"/>
        <w:keepNext w:val="0"/>
        <w:pageBreakBefore w:val="0"/>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具有独立承担民事责任的能力(请提供法人或者其他组织的营业执照等证明文件，自然人的身份证明)。</w:t>
      </w:r>
      <w:r/>
    </w:p>
    <w:p>
      <w:pPr>
        <w:ind w:firstLine="373"/>
        <w:keepLines w:val="0"/>
        <w:keepNext w:val="0"/>
        <w:pageBreakBefore w:val="0"/>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符合《中华人民共和国政府采购法》第二十二条的相关规定，提供《南京市政府采购供应商信用记录表暨信用承诺书》，其中不适用信用承诺的情形：</w:t>
      </w:r>
      <w:r/>
    </w:p>
    <w:p>
      <w:pPr>
        <w:ind w:firstLine="373"/>
        <w:keepLines w:val="0"/>
        <w:keepNext w:val="0"/>
        <w:pageBreakBefore w:val="0"/>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①供应商被列入严重失信主体名单；</w:t>
      </w:r>
      <w:r/>
    </w:p>
    <w:p>
      <w:pPr>
        <w:ind w:firstLine="373"/>
        <w:keepLines w:val="0"/>
        <w:keepNext w:val="0"/>
        <w:pageBreakBefore w:val="0"/>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②被相关监管部门作出行政处罚且尚在处罚有效期内；</w:t>
      </w:r>
      <w:r/>
    </w:p>
    <w:p>
      <w:pPr>
        <w:ind w:firstLine="373"/>
        <w:keepLines w:val="0"/>
        <w:keepNext w:val="0"/>
        <w:pageBreakBefore w:val="0"/>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③其他法律、行政法规规定的不适用信用承诺的情形。</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2.2</w:t>
      </w:r>
      <w:r>
        <w:rPr>
          <w:rFonts w:hint="eastAsia" w:ascii="宋体" w:hAnsi="宋体" w:eastAsia="宋体" w:cs="宋体"/>
          <w:b w:val="0"/>
          <w:bCs/>
          <w:color w:val="auto"/>
          <w:sz w:val="21"/>
          <w:szCs w:val="21"/>
          <w:highlight w:val="none"/>
        </w:rPr>
        <w:t xml:space="preserve">落实政府采购政策需满足的资格要求：（如属于专门面向中小企业采购的项目，供应商应为中小微企业、监狱企业、残疾人福利性单位）</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本项目按照以下方式落实政府采购促进中小企业发展的要求：</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本项目为非预留份额的采购项目或采购包，执行价格扣除优惠政策，具体详见招标文件第五章：评标方法与评标标准。</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2.3</w:t>
      </w:r>
      <w:r>
        <w:rPr>
          <w:rFonts w:hint="eastAsia" w:ascii="宋体" w:hAnsi="宋体" w:eastAsia="宋体" w:cs="宋体"/>
          <w:b w:val="0"/>
          <w:bCs/>
          <w:color w:val="auto"/>
          <w:sz w:val="21"/>
          <w:szCs w:val="21"/>
          <w:highlight w:val="none"/>
        </w:rPr>
        <w:t xml:space="preserve">本项目的特定资格条件：无</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2.4南京市政府采购供应商信用记录表暨信用承诺书</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根据《关于在政府采购活动中推行信用承诺制的通知》宁财购通〔2021〕5号规定，参加南京地区政府采购活动的投标人，应以书面形式向采购人或政府采购代理机构作出信用承诺。投标人应尽早做好承诺工作，登录“信用南京”或“南京公共采购信息网”，在线打印本单位《南京市政府采购投标人信用记录表暨信用承诺书》</w:t>
      </w:r>
      <w:r/>
    </w:p>
    <w:p>
      <w:pPr>
        <w:ind w:firstLine="420"/>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注：本表打印时间必须在采购文件发布之日起至提交电子投标文件截止日前，由法人代表签字并加盖单位公章，原件扫描件上传至电子投标文件中。</w:t>
      </w:r>
      <w:r/>
    </w:p>
    <w:p>
      <w:pPr>
        <w:ind w:firstLine="420"/>
        <w:keepLines w:val="0"/>
        <w:keepNext w:val="0"/>
        <w:pageBreakBefore w:val="0"/>
        <w:spacing w:line="44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在政府采购资格审查环节，投标人只需提供书面《南京市政府采购投标人信用记录表暨信用承诺书》，即可替代</w:t>
      </w:r>
      <w:r>
        <w:rPr>
          <w:rFonts w:hint="eastAsia" w:ascii="宋体" w:hAnsi="宋体" w:eastAsia="宋体" w:cs="宋体"/>
          <w:b w:val="0"/>
          <w:bCs/>
          <w:color w:val="auto"/>
          <w:sz w:val="21"/>
          <w:szCs w:val="21"/>
          <w:highlight w:val="none"/>
          <w:lang w:val="en-US" w:eastAsia="zh-CN"/>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373"/>
        <w:keepLines w:val="0"/>
        <w:keepNext w:val="0"/>
        <w:pageBreakBefore w:val="0"/>
        <w:spacing w:line="440" w:lineRule="exac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投标人涉及以下情形的，不适用信用承诺:(1)投标人被列入严重失信主体名单;(2)被相关监管部门作出行政处罚且尚在处罚有效期内;(3)南京市政府采购供应商诚信档案管理系统中诚信档案分在40分以下；(4)其他法律、行政法规规定的不适用信用承诺的情形。 投标人对信用承诺内容的真实性、合法性、有效性负责。如作出虚假信用承诺，视同为“提供虚假材料谋取中标、成交”的违法行为。</w:t>
      </w:r>
      <w:bookmarkEnd w:id="15"/>
      <w:r/>
      <w:bookmarkEnd w:id="16"/>
      <w:r/>
      <w:bookmarkEnd w:id="17"/>
      <w:r/>
      <w:bookmarkEnd w:id="18"/>
      <w:r/>
      <w:r/>
    </w:p>
    <w:p>
      <w:pPr>
        <w:ind w:firstLine="402"/>
        <w:jc w:val="left"/>
        <w:keepLines w:val="0"/>
        <w:keepNext w:val="0"/>
        <w:pageBreakBefore w:val="0"/>
        <w:spacing w:line="440" w:lineRule="exact"/>
        <w:shd w:val="clear" w:color="auto" w:fill="ffffff"/>
        <w:widowControl/>
        <w:rPr>
          <w:rFonts w:hint="eastAsia" w:ascii="宋体" w:hAnsi="宋体" w:eastAsia="宋体" w:cs="宋体"/>
          <w:b/>
          <w:color w:val="auto"/>
          <w:sz w:val="21"/>
          <w:szCs w:val="21"/>
          <w:highlight w:val="none"/>
        </w:rPr>
      </w:pPr>
      <w:r/>
      <w:bookmarkStart w:id="19" w:name="_Toc80792694"/>
      <w:r/>
      <w:bookmarkStart w:id="20" w:name="_Toc80264702"/>
      <w:r/>
      <w:bookmarkStart w:id="21" w:name="_Toc93909071"/>
      <w:r/>
      <w:bookmarkStart w:id="22" w:name="_Toc96347857"/>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、获取采购文件</w:t>
      </w:r>
      <w:r/>
    </w:p>
    <w:p>
      <w:pPr>
        <w:ind w:firstLine="402"/>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时间：自招标文件公告发布之日起5个工作日。</w:t>
      </w:r>
      <w:r/>
    </w:p>
    <w:p>
      <w:pPr>
        <w:ind w:firstLine="402"/>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地点：江苏政府采购网“苏采云”系统</w:t>
      </w:r>
      <w:r/>
    </w:p>
    <w:p>
      <w:pPr>
        <w:ind w:firstLine="402"/>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bookmarkStart w:id="23" w:name="_Hlk62814426"/>
      <w:r>
        <w:rPr>
          <w:rFonts w:hint="eastAsia" w:ascii="宋体" w:hAnsi="宋体" w:eastAsia="宋体" w:cs="宋体"/>
          <w:color w:val="auto"/>
          <w:sz w:val="21"/>
          <w:szCs w:val="21"/>
          <w:highlight w:val="none"/>
        </w:rPr>
        <w:t xml:space="preserve">方式：在“江苏政府采购网”免费下载。供应商</w:t>
      </w:r>
      <w:r>
        <w:rPr>
          <w:rFonts w:hint="eastAsia" w:ascii="宋体" w:hAnsi="宋体" w:eastAsia="宋体" w:cs="宋体"/>
          <w:color w:val="auto"/>
          <w:sz w:val="21"/>
          <w:szCs w:val="21"/>
          <w:highlight w:val="none"/>
          <w:lang w:eastAsia="zh-CN"/>
        </w:rPr>
        <w:t xml:space="preserve">登录</w:t>
      </w:r>
      <w:r>
        <w:rPr>
          <w:rFonts w:hint="eastAsia" w:ascii="宋体" w:hAnsi="宋体" w:eastAsia="宋体" w:cs="宋体"/>
          <w:color w:val="auto"/>
          <w:sz w:val="21"/>
          <w:szCs w:val="21"/>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bookmarkEnd w:id="23"/>
      <w:r/>
      <w:r/>
    </w:p>
    <w:p>
      <w:pPr>
        <w:ind w:firstLine="402"/>
        <w:jc w:val="left"/>
        <w:keepLines w:val="0"/>
        <w:keepNext w:val="0"/>
        <w:pageBreakBefore w:val="0"/>
        <w:spacing w:line="440" w:lineRule="exact"/>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四、提交电子投标文件截止时间、开标时间和地点</w:t>
      </w:r>
      <w:r/>
    </w:p>
    <w:p>
      <w:pPr>
        <w:ind w:firstLine="400"/>
        <w:keepLines w:val="0"/>
        <w:keepNext w:val="0"/>
        <w:pageBreakBefore w:val="0"/>
        <w:spacing w:line="440" w:lineRule="exact"/>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截止时间：2025年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时</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0分（北京时间） </w:t>
      </w:r>
      <w:r/>
    </w:p>
    <w:p>
      <w:pPr>
        <w:ind w:firstLine="402"/>
        <w:jc w:val="left"/>
        <w:keepLines w:val="0"/>
        <w:keepNext w:val="0"/>
        <w:pageBreakBefore w:val="0"/>
        <w:spacing w:line="440" w:lineRule="exact"/>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地点：江苏政府采购网“苏采云”系统</w:t>
      </w:r>
      <w:r/>
    </w:p>
    <w:p>
      <w:pPr>
        <w:ind w:firstLine="402"/>
        <w:jc w:val="left"/>
        <w:keepLines w:val="0"/>
        <w:keepNext w:val="0"/>
        <w:pageBreakBefore w:val="0"/>
        <w:spacing w:line="440" w:lineRule="exact"/>
        <w:shd w:val="clear" w:color="auto" w:fill="ffffff"/>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五、开启</w:t>
      </w:r>
      <w:r/>
    </w:p>
    <w:p>
      <w:pPr>
        <w:ind w:firstLine="400"/>
        <w:keepLines w:val="0"/>
        <w:keepNext w:val="0"/>
        <w:pageBreakBefore w:val="0"/>
        <w:spacing w:line="440" w:lineRule="exact"/>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时间：2025年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时</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0分（北京时间）</w:t>
      </w:r>
      <w:r/>
    </w:p>
    <w:p>
      <w:pPr>
        <w:ind w:firstLine="400"/>
        <w:keepLines w:val="0"/>
        <w:keepNext w:val="0"/>
        <w:pageBreakBefore w:val="0"/>
        <w:spacing w:line="440" w:lineRule="exact"/>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地点：苏采云系统开标大厅</w:t>
      </w:r>
      <w:r/>
    </w:p>
    <w:p>
      <w:pPr>
        <w:ind w:firstLine="402"/>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六、公告期限</w:t>
      </w:r>
      <w:r/>
    </w:p>
    <w:p>
      <w:pPr>
        <w:ind w:firstLine="400"/>
        <w:keepLines w:val="0"/>
        <w:keepNext w:val="0"/>
        <w:pageBreakBefore w:val="0"/>
        <w:spacing w:line="440" w:lineRule="exact"/>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自本公告发布之日起5个工作日内</w:t>
      </w:r>
      <w:r/>
    </w:p>
    <w:p>
      <w:pPr>
        <w:ind w:firstLine="402"/>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七、其他补充事宜</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1009"/>
          <w:rFonts w:hint="eastAsia" w:ascii="宋体" w:hAnsi="宋体" w:eastAsia="宋体" w:cs="宋体"/>
          <w:color w:val="auto"/>
          <w:sz w:val="21"/>
          <w:szCs w:val="21"/>
          <w:highlight w:val="none"/>
        </w:rPr>
        <w:t xml:space="preserve">http://www.ccgp-jiangsu.gov.cn/jiangsu/zlxz/ee/ee3a4bc5a3454aa2b0d9312230633ce9.html</w:t>
      </w:r>
      <w:r>
        <w:rPr>
          <w:rStyle w:val="1009"/>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（“苏采云”南京地区客服热线025-83633744、025-83633743）。</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2.潜在投标人访问政府采购管理交易系统（苏采云）的网络地址和方法：</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（2）“CA数字证书”的获取：投标人需办理CA锁，“苏采云系统”目前仅支持“苏采云系统”下的政务CA，省内各地区办理的“苏采云系统”下的政务CA全省通用。</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（3）“CA数字证书”的办理材料以及供应商操作手册详见：http://jsxcmm.com/help/gys.html。</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（4）潜在投标人访问“苏采云系统”的网络地址和方法：“苏采云系统”的网址：http://jszfcg.jsczt.cn/jszc/login。</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（5）采购文件（后缀名为“.kedt”）、投标人操作手册及政府采购客户端工具也可通过“苏采云系统” --已报名项目--报名详情页面内相应链接进行下载。</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（6）采购代理机构将数据电文形式的采购文件加载至“苏采云系统”，供潜在投标人下载或者查阅。    </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.拒绝下述供应商参加本次采购活动：</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（1）单位负责人为同一人或者存在直接控股、管理关系的不同供应商。</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（3）投标人被“信用中国”、“中国政府采购网”网站列入失</w:t>
      </w:r>
      <w:r>
        <w:rPr>
          <w:rFonts w:hint="eastAsia" w:ascii="宋体" w:hAnsi="宋体" w:eastAsia="宋体" w:cs="宋体"/>
          <w:color w:val="auto"/>
          <w:sz w:val="21"/>
          <w:szCs w:val="21"/>
          <w:highlight w:val="none"/>
          <w:lang w:eastAsia="zh-CN"/>
        </w:rPr>
        <w:t xml:space="preserve">信被</w:t>
      </w:r>
      <w:r>
        <w:rPr>
          <w:rFonts w:hint="eastAsia" w:ascii="宋体" w:hAnsi="宋体" w:eastAsia="宋体" w:cs="宋体"/>
          <w:color w:val="auto"/>
          <w:sz w:val="21"/>
          <w:szCs w:val="21"/>
          <w:highlight w:val="none"/>
        </w:rPr>
        <w:t xml:space="preserve">执行人、重大税收违法案件当事人名单、政府采购严重违法失信行为记录名单。</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（4）投标人未按要求提供《南京市政府采购供应商信用记录表暨信用承诺书》。</w:t>
      </w:r>
      <w:r/>
    </w:p>
    <w:p>
      <w:pPr>
        <w:ind w:firstLine="420"/>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.本项目不接受进口产品投标。</w:t>
      </w:r>
      <w:r/>
    </w:p>
    <w:p>
      <w:pPr>
        <w:ind w:firstLine="420"/>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.本项目的招标代理服务费由中标人支付，具体详见采购文件。</w:t>
      </w:r>
      <w:r/>
    </w:p>
    <w:p>
      <w:pPr>
        <w:ind w:firstLine="373"/>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w:t>
      </w:r>
      <w:bookmarkEnd w:id="19"/>
      <w:r/>
      <w:bookmarkEnd w:id="20"/>
      <w:r>
        <w:rPr>
          <w:rFonts w:hint="eastAsia" w:ascii="宋体" w:hAnsi="宋体" w:eastAsia="宋体" w:cs="宋体"/>
          <w:b/>
          <w:bCs/>
          <w:color w:val="auto"/>
          <w:sz w:val="21"/>
          <w:szCs w:val="21"/>
          <w:highlight w:val="none"/>
        </w:rPr>
        <w:t xml:space="preserve">对本次招标提出询问，请按以下方式联系。</w:t>
      </w:r>
      <w:bookmarkEnd w:id="21"/>
      <w:r/>
      <w:bookmarkEnd w:id="22"/>
      <w:r/>
      <w:r/>
    </w:p>
    <w:p>
      <w:pPr>
        <w:ind w:firstLine="525"/>
        <w:keepLines w:val="0"/>
        <w:keepNext w:val="0"/>
        <w:pageBreakBefore w:val="0"/>
        <w:spacing w:line="440" w:lineRule="exact"/>
        <w:rPr>
          <w:rFonts w:hint="eastAsia" w:ascii="宋体" w:hAnsi="宋体" w:eastAsia="宋体" w:cs="宋体"/>
          <w:color w:val="auto"/>
          <w:sz w:val="21"/>
          <w:szCs w:val="21"/>
          <w:highlight w:val="none"/>
        </w:rPr>
      </w:pPr>
      <w:r/>
      <w:bookmarkStart w:id="24" w:name="_Toc28359085"/>
      <w:r>
        <w:rPr>
          <w:rFonts w:hint="eastAsia" w:ascii="宋体" w:hAnsi="宋体" w:eastAsia="宋体" w:cs="宋体"/>
          <w:color w:val="auto"/>
          <w:sz w:val="21"/>
          <w:szCs w:val="21"/>
          <w:highlight w:val="none"/>
        </w:rPr>
        <w:t xml:space="preserve">1．采购人信息</w:t>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bookmarkStart w:id="25" w:name="OLE_LINK6"/>
      <w:r/>
      <w:bookmarkStart w:id="26" w:name="OLE_LINK5"/>
      <w:r>
        <w:rPr>
          <w:rFonts w:hint="eastAsia" w:ascii="宋体" w:hAnsi="宋体" w:eastAsia="宋体" w:cs="宋体"/>
          <w:color w:val="auto"/>
          <w:sz w:val="21"/>
          <w:szCs w:val="21"/>
          <w:highlight w:val="none"/>
        </w:rPr>
        <w:t xml:space="preserve">南京市鼓楼区数据局</w:t>
      </w:r>
      <w:bookmarkEnd w:id="25"/>
      <w:r/>
      <w:bookmarkEnd w:id="26"/>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址：南京市热河路8号</w:t>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联系人：严炜</w:t>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话：025-83230304</w:t>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bookmarkStart w:id="27" w:name="OLE_LINK4"/>
      <w:r/>
      <w:bookmarkStart w:id="28" w:name="OLE_LINK3"/>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中通服咨询设计研究院有限公司</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南京市建邺区楠溪江东街58号</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朱工</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w:t>
      </w:r>
      <w:bookmarkEnd w:id="27"/>
      <w:r/>
      <w:bookmarkEnd w:id="28"/>
      <w:r>
        <w:rPr>
          <w:rFonts w:hint="eastAsia" w:ascii="宋体" w:hAnsi="宋体" w:eastAsia="宋体" w:cs="宋体"/>
          <w:color w:val="auto"/>
          <w:sz w:val="21"/>
          <w:szCs w:val="21"/>
          <w:highlight w:val="none"/>
          <w:lang w:eastAsia="zh-CN"/>
        </w:rPr>
        <w:t xml:space="preserve">18021521325</w:t>
      </w:r>
      <w:r/>
    </w:p>
    <w:p>
      <w:pPr>
        <w:ind w:firstLine="525"/>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朱工</w:t>
      </w:r>
      <w:r/>
    </w:p>
    <w:p>
      <w:pPr>
        <w:ind w:firstLine="525"/>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eastAsia="zh-CN"/>
        </w:rPr>
        <w:t xml:space="preserve">18021521325</w:t>
      </w:r>
      <w:r/>
    </w:p>
    <w:p>
      <w:pPr>
        <w:keepLines w:val="0"/>
        <w:keepNext w:val="0"/>
        <w:pageBreakBefore w:val="0"/>
        <w:spacing w:line="440" w:lineRule="exact"/>
        <w:rPr>
          <w:rFonts w:ascii="Arial" w:hAnsi="Arial" w:cs="Arial"/>
          <w:color w:val="auto"/>
          <w:szCs w:val="21"/>
          <w:highlight w:val="none"/>
        </w:rPr>
      </w:pPr>
      <w:r>
        <w:rPr>
          <w:rFonts w:hint="eastAsia" w:ascii="宋体" w:hAnsi="宋体" w:eastAsia="宋体" w:cs="宋体"/>
          <w:color w:val="auto"/>
          <w:sz w:val="21"/>
          <w:szCs w:val="21"/>
          <w:highlight w:val="none"/>
        </w:rPr>
        <w:br w:type="page" w:clear="all"/>
      </w:r>
      <w:bookmarkEnd w:id="6"/>
      <w:r/>
      <w:bookmarkEnd w:id="24"/>
      <w:r/>
      <w:r/>
    </w:p>
    <w:p>
      <w:pPr>
        <w:pStyle w:val="715"/>
        <w:rPr>
          <w:rFonts w:ascii="Arial" w:hAnsi="Arial" w:cs="Arial"/>
          <w:color w:val="auto"/>
          <w:highlight w:val="none"/>
        </w:rPr>
      </w:pPr>
      <w:r>
        <w:rPr>
          <w:rFonts w:ascii="Arial" w:hAnsi="Arial" w:cs="Arial"/>
          <w:color w:val="auto"/>
          <w:highlight w:val="none"/>
        </w:rPr>
      </w:r>
      <w:r/>
    </w:p>
    <w:p>
      <w:pPr>
        <w:pStyle w:val="738"/>
        <w:rPr>
          <w:rFonts w:ascii="Arial" w:hAnsi="Arial" w:cs="Arial"/>
          <w:color w:val="auto"/>
          <w:highlight w:val="none"/>
        </w:rPr>
      </w:pPr>
      <w:r/>
      <w:bookmarkStart w:id="29" w:name="_Toc107246212"/>
      <w:r>
        <w:rPr>
          <w:rFonts w:ascii="Arial" w:hAnsi="Arial" w:cs="Arial"/>
          <w:color w:val="auto"/>
          <w:highlight w:val="none"/>
        </w:rPr>
        <w:t xml:space="preserve">第二章  投标人须知</w:t>
      </w:r>
      <w:bookmarkEnd w:id="7"/>
      <w:r/>
      <w:bookmarkEnd w:id="29"/>
      <w:r/>
      <w:r/>
    </w:p>
    <w:p>
      <w:pPr>
        <w:ind w:firstLine="569"/>
        <w:jc w:val="center"/>
        <w:rPr>
          <w:rFonts w:ascii="Arial" w:hAnsi="Arial" w:cs="Arial"/>
          <w:b/>
          <w:bCs/>
          <w:color w:val="auto"/>
          <w:sz w:val="32"/>
          <w:szCs w:val="32"/>
          <w:highlight w:val="none"/>
        </w:rPr>
      </w:pPr>
      <w:r>
        <w:rPr>
          <w:rFonts w:ascii="Arial" w:hAnsi="Arial" w:cs="Arial"/>
          <w:b/>
          <w:bCs/>
          <w:color w:val="auto"/>
          <w:sz w:val="32"/>
          <w:szCs w:val="32"/>
          <w:highlight w:val="none"/>
        </w:rPr>
        <w:t xml:space="preserve">投标人须知前附表</w:t>
      </w:r>
      <w:r/>
    </w:p>
    <w:p>
      <w:pPr>
        <w:ind w:firstLine="37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本表是对《投标人须知》正文的具体补充和修改，如有矛盾，以本《前附表》为准。</w:t>
      </w:r>
      <w:r/>
    </w:p>
    <w:p>
      <w:pPr>
        <w:ind w:firstLine="37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189"/>
        <w:gridCol w:w="1869"/>
        <w:gridCol w:w="5236"/>
      </w:tblGrid>
      <w:tr>
        <w:trPr>
          <w:jc w:val="center"/>
        </w:trPr>
        <w:tc>
          <w:tcPr>
            <w:tcW w:w="766" w:type="dxa"/>
            <w:vAlign w:val="center"/>
            <w:textDirection w:val="lrTb"/>
            <w:noWrap w:val="false"/>
          </w:tcPr>
          <w:p>
            <w:pPr>
              <w:pStyle w:val="968"/>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89" w:type="dxa"/>
            <w:vAlign w:val="center"/>
            <w:textDirection w:val="lrTb"/>
            <w:noWrap w:val="false"/>
          </w:tcPr>
          <w:p>
            <w:pPr>
              <w:pStyle w:val="968"/>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条款号</w:t>
            </w:r>
            <w:r/>
          </w:p>
        </w:tc>
        <w:tc>
          <w:tcPr>
            <w:tcW w:w="1869" w:type="dxa"/>
            <w:vAlign w:val="center"/>
            <w:textDirection w:val="lrTb"/>
            <w:noWrap w:val="false"/>
          </w:tcPr>
          <w:p>
            <w:pPr>
              <w:pStyle w:val="968"/>
              <w:ind w:firstLine="37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条款名称</w:t>
            </w:r>
            <w:r/>
          </w:p>
        </w:tc>
        <w:tc>
          <w:tcPr>
            <w:tcW w:w="5236" w:type="dxa"/>
            <w:vAlign w:val="center"/>
            <w:textDirection w:val="lrTb"/>
            <w:noWrap w:val="false"/>
          </w:tcPr>
          <w:p>
            <w:pPr>
              <w:pStyle w:val="968"/>
              <w:ind w:firstLine="37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编列内容规定</w:t>
            </w:r>
            <w:r/>
          </w:p>
        </w:tc>
      </w:tr>
      <w:tr>
        <w:trPr>
          <w:jc w:val="center"/>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5236" w:type="dxa"/>
            <w:vAlign w:val="center"/>
            <w:textDirection w:val="lrTb"/>
            <w:noWrap w:val="false"/>
          </w:tcPr>
          <w:p>
            <w:pPr>
              <w:pStyle w:val="96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名  称：南京市鼓楼区数据局</w:t>
            </w:r>
            <w:r/>
          </w:p>
          <w:p>
            <w:pPr>
              <w:pStyle w:val="96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地  址：南京市热河路8号</w:t>
            </w:r>
            <w:r/>
          </w:p>
          <w:p>
            <w:pPr>
              <w:pStyle w:val="965"/>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联系人：严炜</w:t>
            </w:r>
            <w:r/>
          </w:p>
          <w:p>
            <w:pPr>
              <w:pStyle w:val="96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电 话：025-83230304</w:t>
            </w:r>
            <w:r/>
          </w:p>
        </w:tc>
      </w:tr>
      <w:tr>
        <w:trPr>
          <w:jc w:val="center"/>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p>
        </w:tc>
        <w:tc>
          <w:tcPr>
            <w:tcW w:w="5236" w:type="dxa"/>
            <w:vAlign w:val="center"/>
            <w:textDirection w:val="lrTb"/>
            <w:noWrap w:val="false"/>
          </w:tcPr>
          <w:p>
            <w:pPr>
              <w:pStyle w:val="965"/>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名 称：</w:t>
            </w:r>
            <w:r>
              <w:rPr>
                <w:rFonts w:hint="eastAsia" w:ascii="宋体" w:hAnsi="宋体" w:eastAsia="宋体" w:cs="宋体"/>
                <w:color w:val="auto"/>
                <w:sz w:val="21"/>
                <w:szCs w:val="21"/>
                <w:highlight w:val="none"/>
                <w:lang w:val="en-US" w:eastAsia="zh-CN" w:bidi="ar-SA"/>
              </w:rPr>
              <w:t xml:space="preserve">中通服咨询设计研究院有限公司</w:t>
            </w:r>
            <w:r/>
          </w:p>
          <w:p>
            <w:pPr>
              <w:pStyle w:val="965"/>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地 址：</w:t>
            </w:r>
            <w:r>
              <w:rPr>
                <w:rFonts w:hint="eastAsia" w:ascii="宋体" w:hAnsi="宋体" w:eastAsia="宋体" w:cs="宋体"/>
                <w:color w:val="auto"/>
                <w:sz w:val="21"/>
                <w:szCs w:val="21"/>
                <w:highlight w:val="none"/>
                <w:lang w:val="en-US" w:eastAsia="zh-CN" w:bidi="ar-SA"/>
              </w:rPr>
              <w:t xml:space="preserve">南京市建邺区楠溪江东街58号</w:t>
            </w:r>
            <w:r/>
          </w:p>
          <w:p>
            <w:pPr>
              <w:pStyle w:val="965"/>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联系人：</w:t>
            </w:r>
            <w:r>
              <w:rPr>
                <w:rFonts w:hint="eastAsia" w:ascii="宋体" w:hAnsi="宋体" w:eastAsia="宋体" w:cs="宋体"/>
                <w:color w:val="auto"/>
                <w:sz w:val="21"/>
                <w:szCs w:val="21"/>
                <w:highlight w:val="none"/>
                <w:lang w:val="en-US" w:eastAsia="zh-CN" w:bidi="ar-SA"/>
              </w:rPr>
              <w:t xml:space="preserve">朱工</w:t>
            </w:r>
            <w:r/>
          </w:p>
          <w:p>
            <w:pPr>
              <w:pStyle w:val="965"/>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联系方式：</w:t>
            </w:r>
            <w:r>
              <w:rPr>
                <w:rFonts w:hint="eastAsia" w:ascii="宋体" w:hAnsi="宋体" w:eastAsia="宋体" w:cs="宋体"/>
                <w:color w:val="auto"/>
                <w:sz w:val="21"/>
                <w:szCs w:val="21"/>
                <w:highlight w:val="none"/>
                <w:lang w:val="en-US" w:eastAsia="zh-CN" w:bidi="ar-SA"/>
              </w:rPr>
              <w:t xml:space="preserve">18021521325</w:t>
            </w:r>
            <w:r/>
          </w:p>
        </w:tc>
      </w:tr>
      <w:tr>
        <w:trPr>
          <w:jc w:val="center"/>
          <w:trHeight w:val="510"/>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869" w:type="dxa"/>
            <w:vAlign w:val="center"/>
            <w:textDirection w:val="lrTb"/>
            <w:noWrap w:val="false"/>
          </w:tcPr>
          <w:p>
            <w:pPr>
              <w:pStyle w:val="9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本项目执行的政府采购政策</w:t>
            </w:r>
            <w:r/>
          </w:p>
        </w:tc>
        <w:tc>
          <w:tcPr>
            <w:tcW w:w="5236"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w:t>
            </w:r>
            <w:r>
              <w:rPr>
                <w:rFonts w:hint="eastAsia" w:ascii="宋体" w:hAnsi="宋体" w:eastAsia="宋体" w:cs="宋体"/>
                <w:color w:val="auto"/>
                <w:sz w:val="21"/>
                <w:szCs w:val="21"/>
                <w:highlight w:val="none"/>
              </w:rPr>
              <w:t xml:space="preserve">招标文件第一章《招标公告》</w:t>
            </w:r>
            <w:r/>
          </w:p>
        </w:tc>
      </w:tr>
      <w:tr>
        <w:trPr>
          <w:jc w:val="center"/>
          <w:trHeight w:val="510"/>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W w:w="1869" w:type="dxa"/>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现场考察</w:t>
            </w:r>
            <w:r/>
          </w:p>
        </w:tc>
        <w:tc>
          <w:tcPr>
            <w:tcW w:w="5236" w:type="dxa"/>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■不组织</w:t>
            </w:r>
            <w:r/>
          </w:p>
        </w:tc>
      </w:tr>
      <w:tr>
        <w:trPr>
          <w:jc w:val="center"/>
          <w:trHeight w:val="510"/>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开标前答疑会</w:t>
            </w:r>
            <w:r/>
          </w:p>
        </w:tc>
        <w:tc>
          <w:tcPr>
            <w:tcW w:w="5236" w:type="dxa"/>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■不召开</w:t>
            </w:r>
            <w:r/>
          </w:p>
        </w:tc>
      </w:tr>
      <w:tr>
        <w:trPr>
          <w:jc w:val="center"/>
          <w:trHeight w:val="510"/>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5236"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■不接受</w:t>
            </w:r>
            <w:r/>
          </w:p>
        </w:tc>
      </w:tr>
      <w:tr>
        <w:trPr>
          <w:jc w:val="center"/>
          <w:trHeight w:val="772"/>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w:t>
            </w:r>
            <w:r/>
          </w:p>
        </w:tc>
        <w:tc>
          <w:tcPr>
            <w:tcW w:w="5236" w:type="dxa"/>
            <w:vAlign w:val="center"/>
            <w:textDirection w:val="lrTb"/>
            <w:noWrap w:val="false"/>
          </w:tcPr>
          <w:p>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本项目的非主体、非关键性工作是否允许分包：</w:t>
            </w:r>
            <w:r/>
          </w:p>
          <w:p>
            <w:pPr>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■不允许</w:t>
            </w:r>
            <w:r/>
          </w:p>
        </w:tc>
      </w:tr>
      <w:tr>
        <w:trPr>
          <w:jc w:val="center"/>
          <w:trHeight w:val="283"/>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样品</w:t>
            </w:r>
            <w:r/>
          </w:p>
        </w:tc>
        <w:tc>
          <w:tcPr>
            <w:tcW w:w="5236" w:type="dxa"/>
            <w:vAlign w:val="center"/>
            <w:textDirection w:val="lrTb"/>
            <w:noWrap w:val="false"/>
          </w:tcPr>
          <w:p>
            <w:pPr>
              <w:pStyle w:val="715"/>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投标样品递交：■不需要。</w:t>
            </w:r>
            <w:r/>
          </w:p>
        </w:tc>
      </w:tr>
      <w:tr>
        <w:trPr>
          <w:jc w:val="center"/>
          <w:trHeight w:val="734"/>
        </w:trPr>
        <w:tc>
          <w:tcPr>
            <w:tcW w:w="766"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189" w:type="dxa"/>
            <w:vAlign w:val="center"/>
            <w:textDirection w:val="lrTb"/>
            <w:noWrap w:val="false"/>
          </w:tcPr>
          <w:p>
            <w:pPr>
              <w:pStyle w:val="96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采购进口产品</w:t>
            </w:r>
            <w:r/>
          </w:p>
        </w:tc>
        <w:tc>
          <w:tcPr>
            <w:tcW w:w="5236"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详见招标文件第一章《招标公告》</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W w:w="1869" w:type="dxa"/>
            <w:vAlign w:val="center"/>
            <w:textDirection w:val="lrTb"/>
            <w:noWrap w:val="false"/>
          </w:tcPr>
          <w:p>
            <w:pPr>
              <w:pStyle w:val="9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采购预算</w:t>
            </w:r>
            <w:r/>
          </w:p>
        </w:tc>
        <w:tc>
          <w:tcPr>
            <w:tcW w:w="5236"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详见</w:t>
            </w:r>
            <w:r>
              <w:rPr>
                <w:rFonts w:hint="eastAsia" w:ascii="宋体" w:hAnsi="宋体" w:eastAsia="宋体" w:cs="宋体"/>
                <w:color w:val="auto"/>
                <w:sz w:val="21"/>
                <w:szCs w:val="21"/>
                <w:highlight w:val="none"/>
              </w:rPr>
              <w:t xml:space="preserve">招标文件第一章《招标公告》</w:t>
            </w:r>
            <w:r/>
          </w:p>
        </w:tc>
      </w:tr>
      <w:tr>
        <w:trPr>
          <w:jc w:val="center"/>
          <w:trHeight w:val="74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W w:w="1869" w:type="dxa"/>
            <w:vAlign w:val="center"/>
            <w:textDirection w:val="lrTb"/>
            <w:noWrap w:val="false"/>
          </w:tcPr>
          <w:p>
            <w:pPr>
              <w:pStyle w:val="9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本项目设定的最高限价</w:t>
            </w:r>
            <w:r/>
          </w:p>
        </w:tc>
        <w:tc>
          <w:tcPr>
            <w:tcW w:w="5236"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详见</w:t>
            </w:r>
            <w:r>
              <w:rPr>
                <w:rFonts w:hint="eastAsia" w:ascii="宋体" w:hAnsi="宋体" w:eastAsia="宋体" w:cs="宋体"/>
                <w:color w:val="auto"/>
                <w:sz w:val="21"/>
                <w:szCs w:val="21"/>
                <w:highlight w:val="none"/>
              </w:rPr>
              <w:t xml:space="preserve">招标文件第一章《招标公告》</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W w:w="1869"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供应商资格条件</w:t>
            </w:r>
            <w:r/>
          </w:p>
        </w:tc>
        <w:tc>
          <w:tcPr>
            <w:tcW w:w="5236" w:type="dxa"/>
            <w:vAlign w:val="center"/>
            <w:textDirection w:val="lrTb"/>
            <w:noWrap w:val="false"/>
          </w:tcPr>
          <w:p>
            <w:pPr>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详见招标文件第一章《招标公告》</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tcW w:w="1869" w:type="dxa"/>
            <w:vAlign w:val="center"/>
            <w:textDirection w:val="lrTb"/>
            <w:noWrap w:val="false"/>
          </w:tcPr>
          <w:p>
            <w:pPr>
              <w:pStyle w:val="968"/>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tc>
        <w:tc>
          <w:tcPr>
            <w:tcW w:w="5236" w:type="dxa"/>
            <w:vAlign w:val="center"/>
            <w:textDirection w:val="lrTb"/>
            <w:noWrap w:val="false"/>
          </w:tcPr>
          <w:p>
            <w:pPr>
              <w:pStyle w:val="979"/>
              <w:contextualSpacing/>
              <w:ind w:firstLine="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投标报价的其他要求：无。</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投标有效期</w:t>
            </w:r>
            <w:r/>
          </w:p>
        </w:tc>
        <w:tc>
          <w:tcPr>
            <w:tcW w:w="5236" w:type="dxa"/>
            <w:vAlign w:val="center"/>
            <w:textDirection w:val="lrTb"/>
            <w:noWrap w:val="false"/>
          </w:tcPr>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自提交投标文件的截止之日起算90日历天</w:t>
            </w:r>
            <w:r/>
          </w:p>
        </w:tc>
      </w:tr>
      <w:tr>
        <w:trPr>
          <w:jc w:val="center"/>
          <w:trHeight w:val="320"/>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投标保证金</w:t>
            </w:r>
            <w:r/>
          </w:p>
        </w:tc>
        <w:tc>
          <w:tcPr>
            <w:tcW w:w="5236"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■不需要</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投标文件份数</w:t>
            </w:r>
            <w:r/>
          </w:p>
        </w:tc>
        <w:tc>
          <w:tcPr>
            <w:tcW w:w="5236" w:type="dxa"/>
            <w:vAlign w:val="center"/>
            <w:textDirection w:val="lrTb"/>
            <w:noWrap w:val="false"/>
          </w:tcPr>
          <w:p>
            <w:pPr>
              <w:pStyle w:val="968"/>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■不适用</w:t>
            </w:r>
            <w:r/>
          </w:p>
        </w:tc>
      </w:tr>
      <w:tr>
        <w:trPr>
          <w:jc w:val="center"/>
          <w:trHeight w:val="1292"/>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投标文件的递交</w:t>
            </w:r>
            <w:r/>
          </w:p>
        </w:tc>
        <w:tc>
          <w:tcPr>
            <w:tcW w:w="5236" w:type="dxa"/>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rPr>
              <w:t xml:space="preserve">投标文件截止时间后上传的任何电子投标文件。</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提交投标文件的截止时间、地点</w:t>
            </w:r>
            <w:r/>
          </w:p>
        </w:tc>
        <w:tc>
          <w:tcPr>
            <w:tcW w:w="5236"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详见招标文件第一章《招标公告》</w:t>
            </w:r>
            <w:r/>
          </w:p>
        </w:tc>
      </w:tr>
      <w:tr>
        <w:trPr>
          <w:jc w:val="center"/>
          <w:trHeight w:val="656"/>
        </w:trPr>
        <w:tc>
          <w:tcPr>
            <w:tcW w:w="766"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开标时间、地点</w:t>
            </w:r>
            <w:r/>
          </w:p>
        </w:tc>
        <w:tc>
          <w:tcPr>
            <w:tcW w:w="5236"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详见招标文件第一章《招标公告》</w:t>
            </w:r>
            <w:r/>
          </w:p>
        </w:tc>
      </w:tr>
      <w:tr>
        <w:trPr>
          <w:jc w:val="center"/>
          <w:trHeight w:val="656"/>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w:t>
            </w:r>
            <w:r/>
          </w:p>
        </w:tc>
        <w:tc>
          <w:tcPr>
            <w:tcW w:w="5236" w:type="dxa"/>
            <w:vAlign w:val="center"/>
            <w:textDirection w:val="lrTb"/>
            <w:noWrap w:val="false"/>
          </w:tcPr>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5人及以上单数。</w:t>
            </w:r>
            <w:r/>
          </w:p>
        </w:tc>
      </w:tr>
      <w:tr>
        <w:trPr>
          <w:jc w:val="center"/>
          <w:trHeight w:val="656"/>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30.5.3</w:t>
            </w:r>
            <w:r/>
          </w:p>
        </w:tc>
        <w:tc>
          <w:tcPr>
            <w:tcW w:w="1869" w:type="dxa"/>
            <w:vAlign w:val="center"/>
            <w:textDirection w:val="lrTb"/>
            <w:noWrap w:val="false"/>
          </w:tcPr>
          <w:p>
            <w:pPr>
              <w:pStyle w:val="9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w:t>
            </w:r>
            <w:r>
              <w:rPr>
                <w:rFonts w:hint="eastAsia" w:ascii="宋体" w:hAnsi="宋体" w:eastAsia="宋体" w:cs="宋体"/>
                <w:color w:val="auto"/>
                <w:sz w:val="21"/>
                <w:szCs w:val="21"/>
                <w:highlight w:val="none"/>
              </w:rPr>
              <w:tab/>
            </w:r>
            <w:r/>
          </w:p>
        </w:tc>
        <w:tc>
          <w:tcPr>
            <w:tcW w:w="5236" w:type="dxa"/>
            <w:vAlign w:val="center"/>
            <w:textDirection w:val="lrTb"/>
            <w:noWrap w:val="false"/>
          </w:tcPr>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■服务类，不适用。</w:t>
            </w:r>
            <w:r/>
          </w:p>
        </w:tc>
      </w:tr>
      <w:tr>
        <w:trPr>
          <w:jc w:val="center"/>
          <w:trHeight w:val="922"/>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p>
        </w:tc>
        <w:tc>
          <w:tcPr>
            <w:tcW w:w="1869" w:type="dxa"/>
            <w:vAlign w:val="center"/>
            <w:textDirection w:val="lrTb"/>
            <w:noWrap w:val="false"/>
          </w:tcPr>
          <w:p>
            <w:pPr>
              <w:pStyle w:val="96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确定中标单位</w:t>
            </w:r>
            <w:r/>
          </w:p>
        </w:tc>
        <w:tc>
          <w:tcPr>
            <w:tcW w:w="5236"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p>
        </w:tc>
        <w:tc>
          <w:tcPr>
            <w:tcW w:w="1869" w:type="dxa"/>
            <w:vAlign w:val="center"/>
            <w:textDirection w:val="lrTb"/>
            <w:noWrap w:val="false"/>
          </w:tcPr>
          <w:p>
            <w:pPr>
              <w:pStyle w:val="9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公告媒体</w:t>
            </w:r>
            <w:r/>
          </w:p>
        </w:tc>
        <w:tc>
          <w:tcPr>
            <w:tcW w:w="5236" w:type="dxa"/>
            <w:vAlign w:val="center"/>
            <w:textDirection w:val="lrTb"/>
            <w:noWrap w:val="false"/>
          </w:tcPr>
          <w:p>
            <w:pPr>
              <w:pStyle w:val="968"/>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《南京公共采购信息网》（https://njgc.jfh.com/）、《江苏政府采购网》（http://www.ccgp-jiangsu.gov.cn/）</w:t>
            </w:r>
            <w:r/>
          </w:p>
        </w:tc>
      </w:tr>
      <w:tr>
        <w:trPr>
          <w:jc w:val="center"/>
          <w:trHeight w:val="656"/>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tcW w:w="186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5236" w:type="dxa"/>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■不要求提供</w:t>
            </w:r>
            <w:r/>
          </w:p>
          <w:p>
            <w:pPr>
              <w:spacing w:line="360" w:lineRule="auto"/>
              <w:rPr>
                <w:rFonts w:hint="eastAsia" w:ascii="宋体" w:hAnsi="宋体" w:eastAsia="宋体" w:cs="宋体"/>
                <w:bCs/>
                <w:color w:val="auto"/>
                <w:sz w:val="21"/>
                <w:szCs w:val="21"/>
                <w:highlight w:val="none"/>
              </w:rPr>
            </w:pPr>
            <w:r>
              <w:rPr>
                <w:rFonts w:hint="default" w:ascii="Arial" w:hAnsi="Arial" w:eastAsia="宋体" w:cs="Arial"/>
                <w:color w:val="auto"/>
                <w:sz w:val="21"/>
                <w:szCs w:val="24"/>
                <w:highlight w:val="none"/>
              </w:rPr>
              <w:t xml:space="preserve">□</w:t>
            </w:r>
            <w:r>
              <w:rPr>
                <w:rFonts w:hint="eastAsia" w:ascii="宋体" w:hAnsi="宋体" w:eastAsia="宋体" w:cs="宋体"/>
                <w:bCs/>
                <w:color w:val="auto"/>
                <w:sz w:val="21"/>
                <w:szCs w:val="21"/>
                <w:highlight w:val="none"/>
              </w:rPr>
              <w:t xml:space="preserve">要求提供，履约保证金的数额不得超过政府采购合同金额的</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收款人户名：</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开户银行：</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银行账号：</w:t>
            </w:r>
            <w:r/>
          </w:p>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注：以电汇方式递交履约保证金须在电汇凭据附言栏中写明采购编号、包号及用途（履约保证金）。</w:t>
            </w:r>
            <w:r/>
          </w:p>
        </w:tc>
      </w:tr>
      <w:tr>
        <w:trPr>
          <w:jc w:val="center"/>
          <w:trHeight w:val="656"/>
        </w:trPr>
        <w:tc>
          <w:tcPr>
            <w:tcW w:w="766" w:type="dxa"/>
            <w:vAlign w:val="center"/>
            <w:textDirection w:val="lrTb"/>
            <w:noWrap w:val="false"/>
          </w:tcPr>
          <w:p>
            <w:pPr>
              <w:pStyle w:val="968"/>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w:t>
            </w:r>
            <w:r/>
          </w:p>
        </w:tc>
        <w:tc>
          <w:tcPr>
            <w:tcW w:w="1869"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供应商对采购文件的询问</w:t>
            </w:r>
            <w:r/>
          </w:p>
        </w:tc>
        <w:tc>
          <w:tcPr>
            <w:tcW w:w="5236" w:type="dxa"/>
            <w:vAlign w:val="center"/>
            <w:textDirection w:val="lrTb"/>
            <w:noWrap w:val="false"/>
          </w:tcPr>
          <w:p>
            <w:pPr>
              <w:pStyle w:val="721"/>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时间：</w:t>
            </w:r>
            <w:r>
              <w:rPr>
                <w:rFonts w:hint="eastAsia" w:ascii="宋体" w:hAnsi="宋体" w:eastAsia="宋体" w:cs="宋体"/>
                <w:color w:val="auto"/>
                <w:sz w:val="21"/>
                <w:szCs w:val="21"/>
                <w:highlight w:val="none"/>
              </w:rPr>
              <w:t xml:space="preserve">递交投标文件截止时间前15日。</w:t>
            </w:r>
            <w:r/>
          </w:p>
          <w:p>
            <w:pPr>
              <w:pStyle w:val="72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形式：以书面形式（盖章扫描件及WPS兼容格式文件发至</w:t>
            </w:r>
            <w:r>
              <w:rPr>
                <w:rFonts w:hint="eastAsia" w:ascii="宋体" w:hAnsi="宋体" w:eastAsia="宋体" w:cs="宋体"/>
                <w:bCs/>
                <w:color w:val="auto"/>
                <w:sz w:val="21"/>
                <w:szCs w:val="21"/>
                <w:highlight w:val="none"/>
                <w:u w:val="single"/>
                <w:lang w:eastAsia="zh-CN"/>
              </w:rPr>
              <w:t xml:space="preserve">zhuxiaoqi_xm@cicdi.cn</w:t>
            </w:r>
            <w:r>
              <w:rPr>
                <w:rFonts w:hint="eastAsia" w:ascii="宋体" w:hAnsi="宋体" w:eastAsia="宋体" w:cs="宋体"/>
                <w:bCs/>
                <w:color w:val="auto"/>
                <w:sz w:val="21"/>
                <w:szCs w:val="21"/>
                <w:highlight w:val="none"/>
              </w:rPr>
              <w:t xml:space="preserve">邮箱）通知采购代理机构。</w:t>
            </w:r>
            <w:r/>
          </w:p>
        </w:tc>
      </w:tr>
      <w:tr>
        <w:trPr>
          <w:jc w:val="center"/>
          <w:trHeight w:val="1980"/>
        </w:trPr>
        <w:tc>
          <w:tcPr>
            <w:tcW w:w="766" w:type="dxa"/>
            <w:vAlign w:val="center"/>
            <w:textDirection w:val="lrTb"/>
            <w:noWrap w:val="false"/>
          </w:tcPr>
          <w:p>
            <w:pPr>
              <w:pStyle w:val="968"/>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w:t>
            </w:r>
            <w:r/>
          </w:p>
        </w:tc>
        <w:tc>
          <w:tcPr>
            <w:tcW w:w="1869"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供应商对采购文件提出的质疑</w:t>
            </w:r>
            <w:r/>
          </w:p>
        </w:tc>
        <w:tc>
          <w:tcPr>
            <w:tcW w:w="5236" w:type="dxa"/>
            <w:vAlign w:val="center"/>
            <w:textDirection w:val="lrTb"/>
            <w:noWrap w:val="false"/>
          </w:tcPr>
          <w:p>
            <w:pPr>
              <w:pStyle w:val="721"/>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形式：以书面形式通知采购代理机构。如采用邮件形式（盖章扫描件及WPS兼容格式文件发至</w:t>
            </w:r>
            <w:r>
              <w:rPr>
                <w:rFonts w:hint="eastAsia" w:ascii="宋体" w:hAnsi="宋体" w:eastAsia="宋体" w:cs="宋体"/>
                <w:bCs/>
                <w:color w:val="auto"/>
                <w:sz w:val="21"/>
                <w:szCs w:val="21"/>
                <w:highlight w:val="none"/>
                <w:lang w:eastAsia="zh-CN"/>
              </w:rPr>
              <w:t xml:space="preserve">zhuxiaoqi_xm@cicdi.cn</w:t>
            </w:r>
            <w:r>
              <w:rPr>
                <w:rFonts w:hint="eastAsia" w:ascii="宋体" w:hAnsi="宋体" w:eastAsia="宋体" w:cs="宋体"/>
                <w:bCs/>
                <w:color w:val="auto"/>
                <w:sz w:val="21"/>
                <w:szCs w:val="21"/>
                <w:highlight w:val="none"/>
              </w:rPr>
              <w:t xml:space="preserve">邮箱）通知，采购代理机构将以邮件形式进行答复。</w:t>
            </w:r>
            <w:r/>
          </w:p>
        </w:tc>
      </w:tr>
      <w:tr>
        <w:trPr>
          <w:jc w:val="center"/>
          <w:trHeight w:val="3351"/>
        </w:trPr>
        <w:tc>
          <w:tcPr>
            <w:tcW w:w="766" w:type="dxa"/>
            <w:vAlign w:val="center"/>
            <w:textDirection w:val="lrTb"/>
            <w:noWrap w:val="false"/>
          </w:tcPr>
          <w:p>
            <w:pPr>
              <w:pStyle w:val="96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p>
        </w:tc>
        <w:tc>
          <w:tcPr>
            <w:tcW w:w="1189" w:type="dxa"/>
            <w:vAlign w:val="center"/>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w:t>
            </w:r>
            <w:r/>
          </w:p>
        </w:tc>
        <w:tc>
          <w:tcPr>
            <w:tcW w:w="1869" w:type="dxa"/>
            <w:vAlign w:val="center"/>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w:t>
            </w:r>
            <w:r/>
          </w:p>
        </w:tc>
        <w:tc>
          <w:tcPr>
            <w:tcW w:w="5236" w:type="dxa"/>
            <w:vAlign w:val="center"/>
            <w:textDirection w:val="lrTb"/>
            <w:noWrap w:val="false"/>
          </w:tcPr>
          <w:p>
            <w:pPr>
              <w:pStyle w:val="72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中标人在领取中标通知书时，按苏政采协</w:t>
            </w:r>
            <w:r>
              <w:rPr>
                <w:rFonts w:hint="eastAsia" w:hAnsi="宋体" w:cs="宋体"/>
                <w:bCs/>
                <w:color w:val="auto"/>
                <w:sz w:val="21"/>
                <w:szCs w:val="21"/>
                <w:highlight w:val="none"/>
                <w:lang w:eastAsia="zh-CN"/>
              </w:rPr>
              <w:t xml:space="preserve">〔2024〕20号</w:t>
            </w:r>
            <w:r>
              <w:rPr>
                <w:rFonts w:hint="eastAsia" w:ascii="宋体" w:hAnsi="宋体" w:eastAsia="宋体" w:cs="宋体"/>
                <w:bCs/>
                <w:color w:val="auto"/>
                <w:sz w:val="21"/>
                <w:szCs w:val="21"/>
                <w:highlight w:val="none"/>
                <w:lang w:val="en-US" w:eastAsia="zh-CN"/>
              </w:rPr>
              <w:t xml:space="preserve">文</w:t>
            </w:r>
            <w:r>
              <w:rPr>
                <w:rFonts w:hint="eastAsia" w:ascii="宋体" w:hAnsi="宋体" w:eastAsia="宋体" w:cs="宋体"/>
                <w:bCs/>
                <w:color w:val="auto"/>
                <w:sz w:val="21"/>
                <w:szCs w:val="21"/>
                <w:highlight w:val="none"/>
              </w:rPr>
              <w:t xml:space="preserve">的规定向采购代理机构支付代理服务费，费用一次付清。采购代理机构在收到中标服务费后向中标人开具等额的中标服务费发票。我司开具的服务费发票为数电发票，开具后将直接发送至中标供应商邮箱，若中标供应商未预留数电发票接收邮箱或需更改邮箱，请在中标公告后及时与对应项目负责人联系。</w:t>
            </w:r>
            <w:r/>
          </w:p>
        </w:tc>
      </w:tr>
      <w:tr>
        <w:trPr>
          <w:jc w:val="center"/>
          <w:trHeight w:val="581"/>
        </w:trPr>
        <w:tc>
          <w:tcPr>
            <w:tcW w:w="766" w:type="dxa"/>
            <w:vAlign w:val="center"/>
            <w:vMerge w:val="restart"/>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1189" w:type="dxa"/>
            <w:vAlign w:val="center"/>
            <w:vMerge w:val="restart"/>
            <w:textDirection w:val="lrTb"/>
            <w:noWrap w:val="false"/>
          </w:tcPr>
          <w:p>
            <w:pPr>
              <w:pStyle w:val="9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w:t>
            </w:r>
            <w:r/>
          </w:p>
        </w:tc>
        <w:tc>
          <w:tcPr>
            <w:tcW w:w="1869" w:type="dxa"/>
            <w:vAlign w:val="center"/>
            <w:vMerge w:val="restart"/>
            <w:textDirection w:val="lrTb"/>
            <w:noWrap w:val="false"/>
          </w:tcPr>
          <w:p>
            <w:pPr>
              <w:pStyle w:val="96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其他规定</w:t>
            </w:r>
            <w:r/>
          </w:p>
        </w:tc>
        <w:tc>
          <w:tcPr>
            <w:tcW w:w="5236" w:type="dxa"/>
            <w:vAlign w:val="center"/>
            <w:textDirection w:val="lrTb"/>
            <w:noWrap w:val="false"/>
          </w:tcPr>
          <w:p>
            <w:pPr>
              <w:pStyle w:val="721"/>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采购项目类型：服务</w:t>
            </w:r>
            <w:r/>
          </w:p>
        </w:tc>
      </w:tr>
      <w:tr>
        <w:trPr>
          <w:jc w:val="center"/>
          <w:trHeight w:val="552"/>
        </w:trPr>
        <w:tc>
          <w:tcPr>
            <w:tcW w:w="766"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9"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vMerge w:val="continue"/>
            <w:textDirection w:val="lrTb"/>
            <w:noWrap w:val="false"/>
          </w:tcPr>
          <w:p>
            <w:pPr>
              <w:pStyle w:val="968"/>
              <w:ind w:firstLine="37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6" w:type="dxa"/>
            <w:vAlign w:val="center"/>
            <w:textDirection w:val="lrTb"/>
            <w:noWrap w:val="false"/>
          </w:tcPr>
          <w:p>
            <w:pPr>
              <w:pStyle w:val="72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标的对应的中小企业划分标准所属行业：</w:t>
            </w:r>
            <w:r>
              <w:rPr>
                <w:rFonts w:hint="eastAsia" w:ascii="宋体" w:hAnsi="宋体" w:eastAsia="宋体" w:cs="宋体"/>
                <w:color w:val="auto"/>
                <w:sz w:val="21"/>
                <w:szCs w:val="21"/>
                <w:highlight w:val="none"/>
                <w:lang w:eastAsia="zh-CN"/>
              </w:rPr>
              <w:t xml:space="preserve">租赁和商务服</w:t>
            </w:r>
            <w:r>
              <w:rPr>
                <w:rFonts w:hint="eastAsia" w:hAnsi="宋体" w:cs="宋体"/>
                <w:color w:val="auto"/>
                <w:sz w:val="21"/>
                <w:szCs w:val="21"/>
                <w:highlight w:val="none"/>
                <w:lang w:eastAsia="zh-CN"/>
              </w:rPr>
              <w:t xml:space="preserve">务业</w:t>
            </w:r>
            <w:r/>
          </w:p>
        </w:tc>
      </w:tr>
      <w:tr>
        <w:trPr>
          <w:jc w:val="center"/>
          <w:trHeight w:val="656"/>
        </w:trPr>
        <w:tc>
          <w:tcPr>
            <w:tcW w:w="766"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9"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vMerge w:val="continue"/>
            <w:textDirection w:val="lrTb"/>
            <w:noWrap w:val="false"/>
          </w:tcPr>
          <w:p>
            <w:pPr>
              <w:pStyle w:val="968"/>
              <w:ind w:firstLine="37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6" w:type="dxa"/>
            <w:vAlign w:val="center"/>
            <w:textDirection w:val="lrTb"/>
            <w:noWrap w:val="false"/>
          </w:tcPr>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其他规定：</w:t>
            </w:r>
            <w:r>
              <w:rPr>
                <w:rFonts w:hint="eastAsia" w:ascii="宋体" w:hAnsi="宋体" w:eastAsia="宋体" w:cs="宋体"/>
                <w:color w:val="auto"/>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66"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9" w:type="dxa"/>
            <w:vAlign w:val="center"/>
            <w:vMerge w:val="continue"/>
            <w:textDirection w:val="lrTb"/>
            <w:noWrap w:val="false"/>
          </w:tcPr>
          <w:p>
            <w:pPr>
              <w:pStyle w:val="968"/>
              <w:ind w:firstLine="37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vMerge w:val="continue"/>
            <w:textDirection w:val="lrTb"/>
            <w:noWrap w:val="false"/>
          </w:tcPr>
          <w:p>
            <w:pPr>
              <w:pStyle w:val="968"/>
              <w:ind w:firstLine="37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36" w:type="dxa"/>
            <w:vAlign w:val="center"/>
            <w:textDirection w:val="lrTb"/>
            <w:noWrap w:val="false"/>
          </w:tcPr>
          <w:p>
            <w:pPr>
              <w:pStyle w:val="96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信用承诺相关规定</w:t>
            </w:r>
            <w:r/>
          </w:p>
          <w:p>
            <w:pPr>
              <w:pStyle w:val="968"/>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详见招标文件第一章《招标公告》</w:t>
            </w:r>
            <w:r/>
          </w:p>
        </w:tc>
      </w:tr>
    </w:tbl>
    <w:p>
      <w:pPr>
        <w:ind w:firstLine="372"/>
        <w:rPr>
          <w:rFonts w:ascii="Arial" w:hAnsi="Arial" w:cs="Arial"/>
          <w:color w:val="auto"/>
          <w:highlight w:val="none"/>
        </w:rPr>
      </w:pPr>
      <w:r>
        <w:rPr>
          <w:rFonts w:ascii="Arial" w:hAnsi="Arial" w:cs="Arial"/>
          <w:color w:val="auto"/>
          <w:highlight w:val="none"/>
        </w:rPr>
      </w:r>
      <w:r/>
    </w:p>
    <w:p>
      <w:pPr>
        <w:pStyle w:val="721"/>
        <w:ind w:firstLine="1633"/>
        <w:spacing w:line="360" w:lineRule="auto"/>
        <w:rPr>
          <w:rFonts w:ascii="Arial" w:hAnsi="Arial" w:cs="Arial"/>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Arial" w:hAnsi="Arial" w:cs="Arial"/>
          <w:b/>
          <w:bCs/>
          <w:color w:val="auto"/>
          <w:spacing w:val="100"/>
          <w:sz w:val="72"/>
          <w:highlight w:val="none"/>
        </w:rPr>
      </w:r>
      <w:r/>
    </w:p>
    <w:p>
      <w:pPr>
        <w:pStyle w:val="738"/>
        <w:ind w:firstLine="569"/>
        <w:rPr>
          <w:rFonts w:ascii="Arial" w:hAnsi="Arial" w:cs="Arial"/>
          <w:color w:val="auto"/>
          <w:highlight w:val="none"/>
        </w:rPr>
      </w:pPr>
      <w:r/>
      <w:bookmarkStart w:id="30" w:name="_Toc100905199"/>
      <w:r/>
      <w:bookmarkStart w:id="31" w:name="_Toc104560837"/>
      <w:r/>
      <w:bookmarkStart w:id="32" w:name="_Toc107246213"/>
      <w:r/>
      <w:bookmarkStart w:id="33" w:name="_Toc103848526"/>
      <w:r>
        <w:rPr>
          <w:rFonts w:ascii="Arial" w:hAnsi="Arial" w:cs="Arial"/>
          <w:color w:val="auto"/>
          <w:highlight w:val="none"/>
        </w:rPr>
        <w:t xml:space="preserve">投标人须知</w:t>
      </w:r>
      <w:bookmarkEnd w:id="30"/>
      <w:r/>
      <w:bookmarkEnd w:id="31"/>
      <w:r/>
      <w:bookmarkEnd w:id="32"/>
      <w:r/>
      <w:bookmarkEnd w:id="33"/>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34" w:name="_Toc80264706"/>
      <w:r/>
      <w:bookmarkStart w:id="35" w:name="_Toc107246214"/>
      <w:r>
        <w:rPr>
          <w:rFonts w:hint="eastAsia" w:ascii="宋体" w:hAnsi="宋体" w:eastAsia="宋体" w:cs="宋体"/>
          <w:color w:val="auto"/>
          <w:sz w:val="21"/>
          <w:szCs w:val="21"/>
          <w:highlight w:val="none"/>
        </w:rPr>
        <w:t xml:space="preserve">一．</w:t>
      </w:r>
      <w:bookmarkEnd w:id="34"/>
      <w:r>
        <w:rPr>
          <w:rFonts w:hint="eastAsia" w:ascii="宋体" w:hAnsi="宋体" w:eastAsia="宋体" w:cs="宋体"/>
          <w:color w:val="auto"/>
          <w:sz w:val="21"/>
          <w:szCs w:val="21"/>
          <w:highlight w:val="none"/>
        </w:rPr>
        <w:t xml:space="preserve">总则</w:t>
      </w:r>
      <w:bookmarkEnd w:id="35"/>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36" w:name="_Toc96347862"/>
      <w:r/>
      <w:bookmarkStart w:id="37" w:name="_Toc107246215"/>
      <w:r/>
      <w:bookmarkStart w:id="38" w:name="_Toc100905201"/>
      <w:r/>
      <w:bookmarkStart w:id="39" w:name="_Toc104560839"/>
      <w:r/>
      <w:bookmarkStart w:id="40" w:name="_Toc103848528"/>
      <w:r>
        <w:rPr>
          <w:rFonts w:hint="eastAsia" w:ascii="宋体" w:hAnsi="宋体" w:eastAsia="宋体" w:cs="宋体"/>
          <w:color w:val="auto"/>
          <w:sz w:val="21"/>
          <w:szCs w:val="21"/>
          <w:highlight w:val="none"/>
        </w:rPr>
        <w:t xml:space="preserve">1.采购方式</w:t>
      </w:r>
      <w:bookmarkEnd w:id="36"/>
      <w:r/>
      <w:bookmarkEnd w:id="37"/>
      <w:r/>
      <w:bookmarkEnd w:id="38"/>
      <w:r/>
      <w:bookmarkEnd w:id="39"/>
      <w:r/>
      <w:bookmarkEnd w:id="40"/>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41" w:name="_Toc96347863"/>
      <w:r/>
      <w:bookmarkStart w:id="42" w:name="_Toc107246216"/>
      <w:r/>
      <w:bookmarkStart w:id="43" w:name="_Toc104560840"/>
      <w:r/>
      <w:bookmarkStart w:id="44" w:name="_Toc103848529"/>
      <w:r/>
      <w:bookmarkStart w:id="45" w:name="_Toc100905202"/>
      <w:r>
        <w:rPr>
          <w:rFonts w:hint="eastAsia" w:ascii="宋体" w:hAnsi="宋体" w:eastAsia="宋体" w:cs="宋体"/>
          <w:color w:val="auto"/>
          <w:sz w:val="21"/>
          <w:szCs w:val="21"/>
          <w:highlight w:val="none"/>
        </w:rPr>
        <w:t xml:space="preserve">2.定义</w:t>
      </w:r>
      <w:bookmarkEnd w:id="41"/>
      <w:r/>
      <w:bookmarkEnd w:id="42"/>
      <w:r/>
      <w:bookmarkEnd w:id="43"/>
      <w:r/>
      <w:bookmarkEnd w:id="44"/>
      <w:r/>
      <w:bookmarkEnd w:id="45"/>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采购代理机构</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是指集中采购机构和集中采购机构以外的采购代理机构。本次政府采购的采购代理机构名称、地址、电话、联系人见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2.3“采购方”是指采购人和</w:t>
      </w:r>
      <w:r>
        <w:rPr>
          <w:rFonts w:hint="eastAsia" w:ascii="宋体" w:hAnsi="宋体" w:eastAsia="宋体" w:cs="宋体"/>
          <w:color w:val="auto"/>
          <w:sz w:val="21"/>
          <w:szCs w:val="21"/>
          <w:highlight w:val="none"/>
        </w:rPr>
        <w:t xml:space="preserve">采购代理机构的合称。</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供应商</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是指向采购人提供货物、工程或者服务的法人、其他组织或者自然人。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中标供应商</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评标委员会</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是依据政府采购相关法律法规规定组建，依法履行评审采购活动职责的评审成员。</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货物</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是指各种形态和种类的物品，包括原材料、燃料、设备、产品等。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工程</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是指建设工程，包括建筑物和构筑物的新建、改建、扩建、装修、拆除、修缮等。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服务</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是指除货物和工程以外的其他政府采购对象。</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节能产品</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或者</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环保产品</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是指国务院有关部门发布的最新一期《节能产品政府采购品目清单》或者《环境标志产品政府采购品目清单》内的产品。</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进口产品</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是指通过中国海关报关验放进入中国境内且产自关境外的产品。</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46" w:name="_Toc100905203"/>
      <w:r/>
      <w:bookmarkStart w:id="47" w:name="_Toc107246217"/>
      <w:r/>
      <w:bookmarkStart w:id="48" w:name="_Toc103848530"/>
      <w:r/>
      <w:bookmarkStart w:id="49" w:name="_Toc96347864"/>
      <w:r/>
      <w:bookmarkStart w:id="50" w:name="_Toc104560841"/>
      <w:r>
        <w:rPr>
          <w:rFonts w:hint="eastAsia" w:ascii="宋体" w:hAnsi="宋体" w:eastAsia="宋体" w:cs="宋体"/>
          <w:color w:val="auto"/>
          <w:sz w:val="21"/>
          <w:szCs w:val="21"/>
          <w:highlight w:val="none"/>
        </w:rPr>
        <w:t xml:space="preserve">3.适用法律</w:t>
      </w:r>
      <w:bookmarkEnd w:id="46"/>
      <w:r/>
      <w:bookmarkEnd w:id="47"/>
      <w:r/>
      <w:bookmarkEnd w:id="48"/>
      <w:r/>
      <w:bookmarkEnd w:id="49"/>
      <w:r/>
      <w:bookmarkEnd w:id="50"/>
      <w:r/>
      <w:r/>
    </w:p>
    <w:p>
      <w:pPr>
        <w:ind w:firstLine="420"/>
        <w:pageBreakBefore w:val="0"/>
        <w:spacing w:line="440" w:lineRule="exact"/>
        <w:rPr>
          <w:rFonts w:hint="eastAsia" w:ascii="宋体" w:hAnsi="宋体" w:eastAsia="宋体" w:cs="宋体"/>
          <w:color w:val="auto"/>
          <w:sz w:val="21"/>
          <w:szCs w:val="21"/>
          <w:highlight w:val="none"/>
        </w:rPr>
      </w:pPr>
      <w:r/>
      <w:bookmarkStart w:id="51" w:name="_Toc100905204"/>
      <w:r>
        <w:rPr>
          <w:rFonts w:hint="eastAsia" w:ascii="宋体" w:hAnsi="宋体" w:eastAsia="宋体" w:cs="宋体"/>
          <w:color w:val="auto"/>
          <w:sz w:val="21"/>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52" w:name="_Toc103848531"/>
      <w:r/>
      <w:bookmarkStart w:id="53" w:name="_Toc104560842"/>
      <w:r/>
      <w:bookmarkStart w:id="54" w:name="_Toc107246218"/>
      <w:r>
        <w:rPr>
          <w:rFonts w:hint="eastAsia" w:ascii="宋体" w:hAnsi="宋体" w:eastAsia="宋体" w:cs="宋体"/>
          <w:color w:val="auto"/>
          <w:sz w:val="21"/>
          <w:szCs w:val="21"/>
          <w:highlight w:val="none"/>
        </w:rPr>
        <w:t xml:space="preserve">4.</w:t>
      </w:r>
      <w:bookmarkEnd w:id="52"/>
      <w:r>
        <w:rPr>
          <w:rFonts w:hint="eastAsia" w:ascii="宋体" w:hAnsi="宋体" w:eastAsia="宋体" w:cs="宋体"/>
          <w:color w:val="auto"/>
          <w:sz w:val="21"/>
          <w:szCs w:val="21"/>
          <w:highlight w:val="none"/>
        </w:rPr>
        <w:t xml:space="preserve">政府采购政策（包括但不限于下列具体政策要求）</w:t>
      </w:r>
      <w:bookmarkEnd w:id="53"/>
      <w:r/>
      <w:bookmarkEnd w:id="54"/>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4.1中小企业、监狱企业及残疾人福利性单位</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4.1.1中小企业定义：</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4.1.1.1中小企业是</w:t>
      </w:r>
      <w:r>
        <w:rPr>
          <w:rFonts w:hint="eastAsia" w:ascii="宋体" w:hAnsi="宋体" w:eastAsia="宋体" w:cs="宋体"/>
          <w:color w:val="auto"/>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4.1.1.2供应商提供的货物、工程或者服务符合下列情形的，享受中小企业扶持政策：</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（3）在服务采购项目中，服务由中小企业承接，即提供服务的人员为中小企业依照《中华人民共和国劳动合同法》订立劳动合同的从业人员。</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4.1.1.3在货物采购项目中，供应商提供的货物既有中小企业制造货物，也有大型企业制造货物的，不享受中小企业扶持政策。</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4.1.1.4以联合体形式参加政府采购活动，联合体各方均为中小企业的，联合体视同中小企业。其中，联合体各方均为小微企业的，联合体视同小微企业。</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4.1.3残疾人福利单位定义：享受政府采购支持政策的残疾人福利性单位应当同时满足以下条件：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（1）安置的残疾人占本单位在职职工人数的比例不低于25%（含25%），并且安置的残疾人人数不少于10 人（含10 人）；</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（2）依法与安置的每位残疾人签订了一年以上（含一年）的劳动合同或服务协议；</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（3）为安置的每位残疾人按月足额缴纳了基本养老保险、基本医疗保险、失业保险、工伤保险和生育保险等社会保险费；</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（4）通过银行等金融机构向安置的每位残疾人，按月支付了不低于单位所在区县适用的经省级人民政府批准的月最低工资标准的工资；</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4.1.4小微企业价格评审优惠的政策调整：见第五章《评标方法与评标标准》（如涉及）。</w:t>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4.2政府采购节能产品、环境标志产品</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4.3信息安全产品</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4.4未按要求提供相关材料的，不享受相关政策。</w:t>
      </w:r>
      <w:bookmarkEnd w:id="51"/>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55" w:name="_Toc107246219"/>
      <w:r/>
      <w:bookmarkStart w:id="56" w:name="_Toc104560843"/>
      <w:r/>
      <w:bookmarkStart w:id="57" w:name="_Toc100905205"/>
      <w:r/>
      <w:bookmarkStart w:id="58" w:name="_Toc96347865"/>
      <w:r/>
      <w:bookmarkStart w:id="59" w:name="_Toc103848532"/>
      <w:r>
        <w:rPr>
          <w:rFonts w:hint="eastAsia" w:ascii="宋体" w:hAnsi="宋体" w:eastAsia="宋体" w:cs="宋体"/>
          <w:color w:val="auto"/>
          <w:sz w:val="21"/>
          <w:szCs w:val="21"/>
          <w:highlight w:val="none"/>
        </w:rPr>
        <w:t xml:space="preserve">5.相关费用</w:t>
      </w:r>
      <w:bookmarkEnd w:id="55"/>
      <w:r/>
      <w:bookmarkEnd w:id="56"/>
      <w:r/>
      <w:bookmarkEnd w:id="57"/>
      <w:r/>
      <w:bookmarkEnd w:id="58"/>
      <w:r/>
      <w:bookmarkEnd w:id="59"/>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bookmarkStart w:id="60" w:name="_Toc80264707"/>
      <w:r>
        <w:rPr>
          <w:rFonts w:hint="eastAsia" w:ascii="宋体" w:hAnsi="宋体" w:eastAsia="宋体" w:cs="宋体"/>
          <w:color w:val="auto"/>
          <w:sz w:val="21"/>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61" w:name="_Toc100905206"/>
      <w:r/>
      <w:bookmarkStart w:id="62" w:name="_Toc107246220"/>
      <w:r/>
      <w:bookmarkStart w:id="63" w:name="_Toc103848533"/>
      <w:r/>
      <w:bookmarkStart w:id="64" w:name="_Toc104560844"/>
      <w:r/>
      <w:bookmarkStart w:id="65" w:name="_Toc96347866"/>
      <w:r>
        <w:rPr>
          <w:rFonts w:hint="eastAsia" w:ascii="宋体" w:hAnsi="宋体" w:eastAsia="宋体" w:cs="宋体"/>
          <w:color w:val="auto"/>
          <w:sz w:val="21"/>
          <w:szCs w:val="21"/>
          <w:highlight w:val="none"/>
        </w:rPr>
        <w:t xml:space="preserve">6.保密</w:t>
      </w:r>
      <w:bookmarkEnd w:id="61"/>
      <w:r/>
      <w:bookmarkEnd w:id="62"/>
      <w:r/>
      <w:bookmarkEnd w:id="63"/>
      <w:r/>
      <w:bookmarkEnd w:id="64"/>
      <w:r/>
      <w:bookmarkEnd w:id="65"/>
      <w:r/>
      <w:r/>
    </w:p>
    <w:p>
      <w:pPr>
        <w:ind w:firstLine="420"/>
        <w:pageBreakBefore w:val="0"/>
        <w:spacing w:line="440" w:lineRule="exact"/>
        <w:rPr>
          <w:rFonts w:hint="eastAsia" w:ascii="宋体" w:hAnsi="宋体" w:eastAsia="宋体" w:cs="宋体"/>
          <w:color w:val="auto"/>
          <w:sz w:val="21"/>
          <w:szCs w:val="21"/>
          <w:highlight w:val="none"/>
        </w:rPr>
      </w:pPr>
      <w:r/>
      <w:bookmarkStart w:id="66" w:name="_Toc100905207"/>
      <w:r/>
      <w:bookmarkStart w:id="67" w:name="_Toc96347867"/>
      <w:r>
        <w:rPr>
          <w:rFonts w:hint="eastAsia" w:ascii="宋体" w:hAnsi="宋体" w:eastAsia="宋体" w:cs="宋体"/>
          <w:color w:val="auto"/>
          <w:sz w:val="21"/>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68" w:name="_Toc103848534"/>
      <w:r/>
      <w:bookmarkStart w:id="69" w:name="_Toc104560845"/>
      <w:r/>
      <w:bookmarkStart w:id="70" w:name="_Toc107246221"/>
      <w:r>
        <w:rPr>
          <w:rFonts w:hint="eastAsia" w:ascii="宋体" w:hAnsi="宋体" w:eastAsia="宋体" w:cs="宋体"/>
          <w:color w:val="auto"/>
          <w:sz w:val="21"/>
          <w:szCs w:val="21"/>
          <w:highlight w:val="none"/>
        </w:rPr>
        <w:t xml:space="preserve">7.语言文字、计量单位</w:t>
      </w:r>
      <w:bookmarkEnd w:id="66"/>
      <w:r/>
      <w:bookmarkEnd w:id="67"/>
      <w:r/>
      <w:bookmarkEnd w:id="68"/>
      <w:r/>
      <w:bookmarkEnd w:id="69"/>
      <w:r/>
      <w:bookmarkEnd w:id="70"/>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7.1所有文件使用的语言文字为中文。专用术语使用外文的，应附有中文注释。</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7.2所有文件中的计量单位，除招标文件有特殊要求外，应采用国家法定计量单位。</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71" w:name="_Toc104560846"/>
      <w:r/>
      <w:bookmarkStart w:id="72" w:name="_Toc100905208"/>
      <w:r/>
      <w:bookmarkStart w:id="73" w:name="_Toc96347868"/>
      <w:r/>
      <w:bookmarkStart w:id="74" w:name="_Toc107246222"/>
      <w:r/>
      <w:bookmarkStart w:id="75" w:name="_Toc103848535"/>
      <w:r>
        <w:rPr>
          <w:rFonts w:hint="eastAsia" w:ascii="宋体" w:hAnsi="宋体" w:eastAsia="宋体" w:cs="宋体"/>
          <w:color w:val="auto"/>
          <w:sz w:val="21"/>
          <w:szCs w:val="21"/>
          <w:highlight w:val="none"/>
        </w:rPr>
        <w:t xml:space="preserve">8.现场考察</w:t>
      </w:r>
      <w:bookmarkEnd w:id="71"/>
      <w:r/>
      <w:bookmarkEnd w:id="72"/>
      <w:r/>
      <w:bookmarkEnd w:id="73"/>
      <w:r/>
      <w:bookmarkEnd w:id="74"/>
      <w:r/>
      <w:bookmarkEnd w:id="75"/>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规定现场考察的，供应商须按照</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规定的时间、地点参加踏勘，以获得有关编制投标文件和签署合同所涉及现场的资料。供应商承担现场考察所发生的自身费用、责任和风险。</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8.2供应商不按照</w:t>
      </w:r>
      <w:r>
        <w:rPr>
          <w:rFonts w:hint="eastAsia" w:ascii="宋体" w:hAnsi="宋体" w:eastAsia="宋体" w:cs="宋体"/>
          <w:bCs/>
          <w:color w:val="auto"/>
          <w:sz w:val="21"/>
          <w:szCs w:val="21"/>
          <w:highlight w:val="none"/>
        </w:rPr>
        <w:t xml:space="preserve">本须知的规定</w:t>
      </w:r>
      <w:r>
        <w:rPr>
          <w:rFonts w:hint="eastAsia" w:ascii="宋体" w:hAnsi="宋体" w:eastAsia="宋体" w:cs="宋体"/>
          <w:color w:val="auto"/>
          <w:sz w:val="21"/>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8.3除非有特殊要求，招标文件不提供项目所在地的自然环境、气候条件、公用设施等情况，供应商被视为熟悉上述与履行合同有关的一切情况。</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76" w:name="_Toc102117275"/>
      <w:r/>
      <w:bookmarkStart w:id="77" w:name="_Toc107246223"/>
      <w:r>
        <w:rPr>
          <w:rFonts w:hint="eastAsia" w:ascii="宋体" w:hAnsi="宋体" w:eastAsia="宋体" w:cs="宋体"/>
          <w:color w:val="auto"/>
          <w:sz w:val="21"/>
          <w:szCs w:val="21"/>
          <w:highlight w:val="none"/>
        </w:rPr>
        <w:t xml:space="preserve">9.开标前答疑会</w:t>
      </w:r>
      <w:bookmarkEnd w:id="76"/>
      <w:r/>
      <w:bookmarkEnd w:id="77"/>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规定召开开标前答疑会的，采购方按</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规定的时间和地点召开开标前答疑会，澄清供应商提出的询问。</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9.2供应商应按</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规定的时间和形式将提出的询问送达采购方，以便采购方在会议期间澄清，逾期的询问将不被接受。</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78" w:name="_Toc107246224"/>
      <w:r/>
      <w:bookmarkStart w:id="79" w:name="_Toc104560847"/>
      <w:r/>
      <w:bookmarkStart w:id="80" w:name="_Toc103848536"/>
      <w:r/>
      <w:bookmarkStart w:id="81" w:name="_Toc100905210"/>
      <w:r/>
      <w:bookmarkStart w:id="82" w:name="_Toc96347869"/>
      <w:r>
        <w:rPr>
          <w:rFonts w:hint="eastAsia" w:ascii="宋体" w:hAnsi="宋体" w:eastAsia="宋体" w:cs="宋体"/>
          <w:color w:val="auto"/>
          <w:sz w:val="21"/>
          <w:szCs w:val="21"/>
          <w:highlight w:val="none"/>
        </w:rPr>
        <w:t xml:space="preserve">10.联合体投标</w:t>
      </w:r>
      <w:bookmarkEnd w:id="78"/>
      <w:r/>
      <w:bookmarkEnd w:id="79"/>
      <w:r/>
      <w:bookmarkEnd w:id="80"/>
      <w:r/>
      <w:bookmarkEnd w:id="81"/>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10.1本项目是否接受联合体形式参与详见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10.2供应商为联合体形式的，应遵守以下规定：</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（1）联合体各方必须签订联合体协议书，明确联合体牵头人和各方权利、义务及分工、合同工作量比例；</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（2）联合体各方均应当符合《政府采购法》第二十二条第一款规定的条件；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（3）除另有规定外，联合体各方中至少有一方应当符合采购人规定的特定资格条件；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（4）联合体中有同类资质的供应商按照联合体分工承担相同工作的，应当按照资质等级较低的供应商确定资质等级；</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（5）以联合体形式参加政府采购活动的，联合体各方不得再单独参加或者与其他供应商另外组成联合体参加同一合同项下的政府采购活动。</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83" w:name="_Toc100905213"/>
      <w:r/>
      <w:bookmarkStart w:id="84" w:name="_Toc103848537"/>
      <w:r/>
      <w:bookmarkStart w:id="85" w:name="_Toc104560848"/>
      <w:r/>
      <w:bookmarkStart w:id="86" w:name="_Toc107246225"/>
      <w:r/>
      <w:bookmarkStart w:id="87" w:name="_Toc100905211"/>
      <w:r>
        <w:rPr>
          <w:rFonts w:hint="eastAsia" w:ascii="宋体" w:hAnsi="宋体" w:eastAsia="宋体" w:cs="宋体"/>
          <w:color w:val="auto"/>
          <w:sz w:val="21"/>
          <w:szCs w:val="21"/>
          <w:highlight w:val="none"/>
        </w:rPr>
        <w:t xml:space="preserve">11.分包</w:t>
      </w:r>
      <w:bookmarkEnd w:id="83"/>
      <w:r/>
      <w:bookmarkEnd w:id="84"/>
      <w:r/>
      <w:bookmarkEnd w:id="85"/>
      <w:r/>
      <w:bookmarkEnd w:id="86"/>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88" w:name="_Toc107246226"/>
      <w:r/>
      <w:bookmarkStart w:id="89" w:name="_Toc104560849"/>
      <w:r>
        <w:rPr>
          <w:rFonts w:hint="eastAsia" w:ascii="宋体" w:hAnsi="宋体" w:eastAsia="宋体" w:cs="宋体"/>
          <w:color w:val="auto"/>
          <w:sz w:val="21"/>
          <w:szCs w:val="21"/>
          <w:highlight w:val="none"/>
        </w:rPr>
        <w:t xml:space="preserve">12.样品</w:t>
      </w:r>
      <w:bookmarkEnd w:id="88"/>
      <w:r/>
      <w:bookmarkEnd w:id="89"/>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12.2样品的评审方法以及评审标准等内容见第五章《评标方法与评标标准》。</w:t>
      </w:r>
      <w:bookmarkEnd w:id="82"/>
      <w:r/>
      <w:bookmarkEnd w:id="87"/>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90" w:name="_Toc104560850"/>
      <w:r/>
      <w:bookmarkStart w:id="91" w:name="_Toc100905214"/>
      <w:r/>
      <w:bookmarkStart w:id="92" w:name="_Toc103848538"/>
      <w:r/>
      <w:bookmarkStart w:id="93" w:name="_Toc107246227"/>
      <w:r>
        <w:rPr>
          <w:rFonts w:hint="eastAsia" w:ascii="宋体" w:hAnsi="宋体" w:eastAsia="宋体" w:cs="宋体"/>
          <w:color w:val="auto"/>
          <w:sz w:val="21"/>
          <w:szCs w:val="21"/>
          <w:highlight w:val="none"/>
        </w:rPr>
        <w:t xml:space="preserve">13.采购进口产品</w:t>
      </w:r>
      <w:bookmarkEnd w:id="90"/>
      <w:r/>
      <w:bookmarkEnd w:id="91"/>
      <w:r/>
      <w:bookmarkEnd w:id="92"/>
      <w:r/>
      <w:bookmarkEnd w:id="93"/>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13.1本项目是否采购进口产品及相关要求见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94" w:name="_Toc104560851"/>
      <w:r/>
      <w:bookmarkStart w:id="95" w:name="_Toc107246228"/>
      <w:r>
        <w:rPr>
          <w:rFonts w:hint="eastAsia" w:ascii="宋体" w:hAnsi="宋体" w:eastAsia="宋体" w:cs="宋体"/>
          <w:color w:val="auto"/>
          <w:sz w:val="21"/>
          <w:szCs w:val="21"/>
          <w:highlight w:val="none"/>
        </w:rPr>
        <w:t xml:space="preserve">14.采购项目预算及最高限价</w:t>
      </w:r>
      <w:bookmarkEnd w:id="94"/>
      <w:r/>
      <w:bookmarkEnd w:id="95"/>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14.1本项目采购资金已列入政府采购预算，预算金额见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14.2本项目最高限价要求见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96" w:name="_Toc104560852"/>
      <w:r/>
      <w:bookmarkStart w:id="97" w:name="_Toc107246229"/>
      <w:r>
        <w:rPr>
          <w:rFonts w:hint="eastAsia" w:ascii="宋体" w:hAnsi="宋体" w:eastAsia="宋体" w:cs="宋体"/>
          <w:color w:val="auto"/>
          <w:sz w:val="21"/>
          <w:szCs w:val="21"/>
          <w:highlight w:val="none"/>
        </w:rPr>
        <w:t xml:space="preserve">15.</w:t>
      </w:r>
      <w:r>
        <w:rPr>
          <w:rFonts w:hint="eastAsia" w:ascii="宋体" w:hAnsi="宋体" w:eastAsia="宋体" w:cs="宋体"/>
          <w:bCs w:val="0"/>
          <w:color w:val="auto"/>
          <w:sz w:val="21"/>
          <w:szCs w:val="21"/>
          <w:highlight w:val="none"/>
        </w:rPr>
        <w:t xml:space="preserve"> 供应商</w:t>
      </w:r>
      <w:r>
        <w:rPr>
          <w:rFonts w:hint="eastAsia" w:ascii="宋体" w:hAnsi="宋体" w:eastAsia="宋体" w:cs="宋体"/>
          <w:color w:val="auto"/>
          <w:sz w:val="21"/>
          <w:szCs w:val="21"/>
          <w:highlight w:val="none"/>
        </w:rPr>
        <w:t xml:space="preserve">资格条件</w:t>
      </w:r>
      <w:bookmarkEnd w:id="96"/>
      <w:r/>
      <w:bookmarkEnd w:id="97"/>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rPr>
          <w:rFonts w:hint="eastAsia" w:ascii="宋体" w:hAnsi="宋体" w:eastAsia="宋体" w:cs="宋体"/>
          <w:bCs/>
          <w:color w:val="auto"/>
          <w:sz w:val="21"/>
          <w:szCs w:val="21"/>
          <w:highlight w:val="none"/>
        </w:rPr>
        <w:t xml:space="preserve">供应商</w:t>
      </w:r>
      <w:r>
        <w:rPr>
          <w:rFonts w:hint="eastAsia" w:ascii="宋体" w:hAnsi="宋体" w:eastAsia="宋体" w:cs="宋体"/>
          <w:color w:val="auto"/>
          <w:sz w:val="21"/>
          <w:szCs w:val="21"/>
          <w:highlight w:val="none"/>
        </w:rPr>
        <w:t xml:space="preserve">资格条件见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98" w:name="_Toc107246230"/>
      <w:r>
        <w:rPr>
          <w:rFonts w:hint="eastAsia" w:ascii="宋体" w:hAnsi="宋体" w:eastAsia="宋体" w:cs="宋体"/>
          <w:color w:val="auto"/>
          <w:sz w:val="21"/>
          <w:szCs w:val="21"/>
          <w:highlight w:val="none"/>
        </w:rPr>
        <w:t xml:space="preserve">二．招标文件</w:t>
      </w:r>
      <w:bookmarkEnd w:id="60"/>
      <w:r/>
      <w:bookmarkEnd w:id="98"/>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99" w:name="_Toc104560854"/>
      <w:r/>
      <w:bookmarkStart w:id="100" w:name="_Toc96347871"/>
      <w:r/>
      <w:bookmarkStart w:id="101" w:name="_Toc107246231"/>
      <w:r/>
      <w:bookmarkStart w:id="102" w:name="_Toc100905217"/>
      <w:r/>
      <w:bookmarkStart w:id="103" w:name="_Toc103848540"/>
      <w:r>
        <w:rPr>
          <w:rFonts w:hint="eastAsia" w:ascii="宋体" w:hAnsi="宋体" w:eastAsia="宋体" w:cs="宋体"/>
          <w:color w:val="auto"/>
          <w:sz w:val="21"/>
          <w:szCs w:val="21"/>
          <w:highlight w:val="none"/>
        </w:rPr>
        <w:t xml:space="preserve">16.招标文件的构成</w:t>
      </w:r>
      <w:bookmarkEnd w:id="99"/>
      <w:r/>
      <w:bookmarkEnd w:id="100"/>
      <w:r/>
      <w:bookmarkEnd w:id="101"/>
      <w:r/>
      <w:bookmarkEnd w:id="102"/>
      <w:r/>
      <w:bookmarkEnd w:id="103"/>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16.1招标文件各章节的内容如下：</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第一章：招标公告</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第二章：投标人须知</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第三章：政府采购合同条款及格式</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第四章：采购需求</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第五章：评标方法与评标标准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第六章：</w:t>
      </w:r>
      <w:bookmarkStart w:id="104" w:name="_Toc96347872"/>
      <w:r>
        <w:rPr>
          <w:rFonts w:hint="eastAsia" w:ascii="宋体" w:hAnsi="宋体" w:eastAsia="宋体" w:cs="宋体"/>
          <w:color w:val="auto"/>
          <w:sz w:val="21"/>
          <w:szCs w:val="21"/>
          <w:highlight w:val="none"/>
        </w:rPr>
        <w:t xml:space="preserve">投标文件格式</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对招标文件所作的澄清、修改，构成招标文件的组成部分。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如标书制作工具中格式和内容与“南京公共采购信息网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江苏政府采购网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中国政府采购网”发布的</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文件不一致</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，以</w:t>
      </w:r>
      <w:r>
        <w:rPr>
          <w:rFonts w:hint="eastAsia" w:ascii="宋体" w:hAnsi="宋体" w:eastAsia="宋体" w:cs="宋体"/>
          <w:color w:val="auto"/>
          <w:sz w:val="21"/>
          <w:szCs w:val="21"/>
          <w:highlight w:val="none"/>
        </w:rPr>
        <w:t xml:space="preserve">上述网站</w:t>
      </w:r>
      <w:r>
        <w:rPr>
          <w:rFonts w:hint="eastAsia" w:ascii="宋体" w:hAnsi="宋体" w:eastAsia="宋体" w:cs="宋体"/>
          <w:color w:val="auto"/>
          <w:sz w:val="21"/>
          <w:szCs w:val="21"/>
          <w:highlight w:val="none"/>
          <w:lang w:val="zh-CN"/>
        </w:rPr>
        <w:t xml:space="preserve">发布的</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文件为准。</w:t>
      </w:r>
      <w:r/>
    </w:p>
    <w:p>
      <w:pPr>
        <w:ind w:firstLine="422"/>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★招标文件中标注</w:t>
      </w: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w:t>
      </w: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符号的条款为实质性要求条款（即重要条款）。</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16.2供应商应仔细阅读和检查招标文件的全部内容。如发现招标文件内容不全，应及时向采购方提出，以便补齐。</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16.3</w:t>
      </w:r>
      <w:r>
        <w:rPr>
          <w:rFonts w:hint="eastAsia" w:ascii="宋体" w:hAnsi="宋体" w:eastAsia="宋体" w:cs="宋体"/>
          <w:color w:val="auto"/>
          <w:sz w:val="21"/>
          <w:szCs w:val="21"/>
          <w:highlight w:val="none"/>
        </w:rPr>
        <w:t xml:space="preserve">供应商</w:t>
      </w:r>
      <w:r>
        <w:rPr>
          <w:rFonts w:hint="eastAsia" w:ascii="宋体" w:hAnsi="宋体" w:eastAsia="宋体" w:cs="宋体"/>
          <w:bCs/>
          <w:color w:val="auto"/>
          <w:sz w:val="21"/>
          <w:szCs w:val="21"/>
          <w:highlight w:val="none"/>
        </w:rPr>
        <w:t xml:space="preserve">按照招标文件要求编制投标文件。任何对招标文件的忽略或误解，不能作为投标文件存在缺陷或瑕疵的理由，其风险由</w:t>
      </w:r>
      <w:r>
        <w:rPr>
          <w:rFonts w:hint="eastAsia" w:ascii="宋体" w:hAnsi="宋体" w:eastAsia="宋体" w:cs="宋体"/>
          <w:color w:val="auto"/>
          <w:sz w:val="21"/>
          <w:szCs w:val="21"/>
          <w:highlight w:val="none"/>
        </w:rPr>
        <w:t xml:space="preserve">供应商</w:t>
      </w:r>
      <w:r>
        <w:rPr>
          <w:rFonts w:hint="eastAsia" w:ascii="宋体" w:hAnsi="宋体" w:eastAsia="宋体" w:cs="宋体"/>
          <w:bCs/>
          <w:color w:val="auto"/>
          <w:sz w:val="21"/>
          <w:szCs w:val="21"/>
          <w:highlight w:val="none"/>
        </w:rPr>
        <w:t xml:space="preserve">承担。</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16.4本项目招标文件如包括多个分包，则除非特别说明，招标文件所列各项要求均为各分包通用要求。</w:t>
      </w:r>
      <w:bookmarkEnd w:id="104"/>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05" w:name="_Toc96347873"/>
      <w:r/>
      <w:bookmarkStart w:id="106" w:name="_Toc107246232"/>
      <w:r/>
      <w:bookmarkStart w:id="107" w:name="_Toc103848541"/>
      <w:r/>
      <w:bookmarkStart w:id="108" w:name="_Toc100905218"/>
      <w:r/>
      <w:bookmarkStart w:id="109" w:name="_Toc104560855"/>
      <w:r>
        <w:rPr>
          <w:rFonts w:hint="eastAsia" w:ascii="宋体" w:hAnsi="宋体" w:eastAsia="宋体" w:cs="宋体"/>
          <w:color w:val="auto"/>
          <w:sz w:val="21"/>
          <w:szCs w:val="21"/>
          <w:highlight w:val="none"/>
        </w:rPr>
        <w:t xml:space="preserve">17.招标文件的澄清或者修改</w:t>
      </w:r>
      <w:bookmarkEnd w:id="105"/>
      <w:r/>
      <w:bookmarkEnd w:id="106"/>
      <w:r/>
      <w:bookmarkEnd w:id="107"/>
      <w:r/>
      <w:bookmarkEnd w:id="108"/>
      <w:r/>
      <w:bookmarkEnd w:id="109"/>
      <w:r/>
      <w:r/>
    </w:p>
    <w:p>
      <w:pPr>
        <w:ind w:firstLine="420"/>
        <w:pageBreakBefore w:val="0"/>
        <w:spacing w:line="440" w:lineRule="exact"/>
        <w:rPr>
          <w:rFonts w:hint="eastAsia" w:ascii="宋体" w:hAnsi="宋体" w:eastAsia="宋体" w:cs="宋体"/>
          <w:color w:val="auto"/>
          <w:sz w:val="21"/>
          <w:szCs w:val="21"/>
          <w:highlight w:val="none"/>
        </w:rPr>
      </w:pPr>
      <w:r/>
      <w:bookmarkStart w:id="110" w:name="_Toc100905219"/>
      <w:r>
        <w:rPr>
          <w:rFonts w:hint="eastAsia" w:ascii="宋体" w:hAnsi="宋体" w:eastAsia="宋体" w:cs="宋体"/>
          <w:color w:val="auto"/>
          <w:sz w:val="21"/>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w:t>
      </w:r>
      <w:r>
        <w:rPr>
          <w:rFonts w:hint="eastAsia" w:ascii="宋体" w:hAnsi="宋体" w:eastAsia="宋体" w:cs="宋体"/>
          <w:color w:val="auto"/>
          <w:sz w:val="21"/>
          <w:szCs w:val="21"/>
          <w:highlight w:val="none"/>
          <w:lang w:eastAsia="zh-CN"/>
        </w:rPr>
        <w:t xml:space="preserve">后者</w:t>
      </w:r>
      <w:r>
        <w:rPr>
          <w:rFonts w:hint="eastAsia" w:ascii="宋体" w:hAnsi="宋体" w:eastAsia="宋体" w:cs="宋体"/>
          <w:color w:val="auto"/>
          <w:sz w:val="21"/>
          <w:szCs w:val="21"/>
          <w:highlight w:val="none"/>
        </w:rPr>
        <w:t xml:space="preserve">为准。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0"/>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11" w:name="_Toc91836558"/>
      <w:r/>
      <w:bookmarkStart w:id="112" w:name="_Toc107246233"/>
      <w:r/>
      <w:bookmarkStart w:id="113" w:name="_Toc104560856"/>
      <w:r/>
      <w:bookmarkStart w:id="114" w:name="_Toc80264708"/>
      <w:r>
        <w:rPr>
          <w:rFonts w:hint="eastAsia" w:ascii="宋体" w:hAnsi="宋体" w:eastAsia="宋体" w:cs="宋体"/>
          <w:color w:val="auto"/>
          <w:sz w:val="21"/>
          <w:szCs w:val="21"/>
          <w:highlight w:val="none"/>
        </w:rPr>
        <w:t xml:space="preserve">三．投标文件</w:t>
      </w:r>
      <w:bookmarkEnd w:id="111"/>
      <w:r/>
      <w:bookmarkEnd w:id="112"/>
      <w:r/>
      <w:bookmarkEnd w:id="113"/>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15" w:name="_Toc107246234"/>
      <w:r/>
      <w:bookmarkStart w:id="116" w:name="_Toc104560857"/>
      <w:r/>
      <w:bookmarkStart w:id="117" w:name="_Toc103848543"/>
      <w:r/>
      <w:bookmarkStart w:id="118" w:name="_Toc96347875"/>
      <w:r/>
      <w:bookmarkStart w:id="119" w:name="_Toc100905221"/>
      <w:r>
        <w:rPr>
          <w:rFonts w:hint="eastAsia" w:ascii="宋体" w:hAnsi="宋体" w:eastAsia="宋体" w:cs="宋体"/>
          <w:color w:val="auto"/>
          <w:sz w:val="21"/>
          <w:szCs w:val="21"/>
          <w:highlight w:val="none"/>
        </w:rPr>
        <w:t xml:space="preserve">18.投标文件的组成</w:t>
      </w:r>
      <w:bookmarkEnd w:id="115"/>
      <w:r/>
      <w:bookmarkEnd w:id="116"/>
      <w:r/>
      <w:bookmarkEnd w:id="117"/>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18.1投标文件由价格及商务部分、技术部分以及其他部分组成，格式见招标文件第六章《投标文件格式》。</w:t>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18.2投标文件的价格及商务部分，包括但不限于下列文件：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（1）投标函，格式见附件。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（2）法定代表人（单位负责人）身份证明，格式见附件。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（3）法定代表人（单位负责人）授权委托书（适用于法人/非法人），格式见附件。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（4）开标一览表，格式见附件。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（5）分项报价表，格式见附件。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（6）商务条款偏离表，格式见附件。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（7）投标人具备投标资格的证明文件（如为南京市政府采购项目，则投标人应按照公告要求提供）：</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（7-1-1）营业执照复印件或自然人的身份证明复印件（或具有同等法律效力的证照），格式见附件。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（7-1-2）工商变更登记文件（如需），如发生了单位名称等变更的，需提供工商变更登记文件，格式见附件。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（7-2）财务报表，格式见附件。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（7-3）具有履行合同所必需的设备和专业技术能力的相关证明材料或承诺函，格式见附件。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（7-4）依法缴纳税收的相关材料，格式见附件。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（7-5）依法缴纳社会保障资金的相关材料，格式见附件。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（7-6）参加政府采购活动前三年内，在经营活动中没有重大违法记录，格式见附件。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（7-7）无不良信用记录承诺函（投标人自行查询适用），格式见附件。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（7-8）招标文件要求的</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实质性资格资信证明文件。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（8）《南京市政府采购供应商信用记录表暨信用承诺书》（如需）</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（9）投标保证金（如需），格式见附件。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（10）联合体协议书（如需），格式见附件。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（11）分包意向协议（如需），格式见附件。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（12）公章授权书（如需），格式见附件。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（13）投标人参加远程异地开标仪式须知（如需），格式见附件。</w:t>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18.3</w:t>
      </w:r>
      <w:r>
        <w:rPr>
          <w:rFonts w:hint="eastAsia" w:ascii="宋体" w:hAnsi="宋体" w:eastAsia="宋体" w:cs="宋体"/>
          <w:b/>
          <w:color w:val="auto"/>
          <w:sz w:val="21"/>
          <w:szCs w:val="21"/>
          <w:highlight w:val="none"/>
          <w:lang w:val="zh-CN"/>
        </w:rPr>
        <w:t xml:space="preserve">投标文件的技术部分，包括但不限于下列文件：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（1）技术方案或服务方案。</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（2）技术条款偏离表，格式见附件。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（3）投标人售后服务承诺（如需）。</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（4）用于本项目人员简历表（如需）。</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（5）投标标的物符合招标文件规定的证明文件（如需）。</w:t>
      </w:r>
      <w:r/>
    </w:p>
    <w:p>
      <w:pPr>
        <w:ind w:firstLine="422"/>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18.4投标文件的其他部分</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18.4.1投标文件的其他部分由投标人根据编制投标文件需要提供的其他相关文件组成。</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20" w:name="_Toc107246235"/>
      <w:r/>
      <w:bookmarkStart w:id="121" w:name="_Toc104560858"/>
      <w:r>
        <w:rPr>
          <w:rFonts w:hint="eastAsia" w:ascii="宋体" w:hAnsi="宋体" w:eastAsia="宋体" w:cs="宋体"/>
          <w:color w:val="auto"/>
          <w:sz w:val="21"/>
          <w:szCs w:val="21"/>
          <w:highlight w:val="none"/>
        </w:rPr>
        <w:t xml:space="preserve">19.投标文件编制的原则</w:t>
      </w:r>
      <w:bookmarkEnd w:id="120"/>
      <w:r/>
      <w:bookmarkEnd w:id="121"/>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19.1</w:t>
      </w:r>
      <w:r>
        <w:rPr>
          <w:rFonts w:hint="eastAsia" w:ascii="宋体" w:hAnsi="宋体" w:eastAsia="宋体" w:cs="宋体"/>
          <w:color w:val="auto"/>
          <w:sz w:val="21"/>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19.2</w:t>
      </w:r>
      <w:r>
        <w:rPr>
          <w:rFonts w:hint="eastAsia" w:ascii="宋体" w:hAnsi="宋体" w:eastAsia="宋体" w:cs="宋体"/>
          <w:color w:val="auto"/>
          <w:sz w:val="21"/>
          <w:szCs w:val="21"/>
          <w:highlight w:val="none"/>
        </w:rPr>
        <w:t xml:space="preserve">投标人必须保证投标文件所提供的全部资料真实可靠。</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19.3</w:t>
      </w:r>
      <w:r>
        <w:rPr>
          <w:rFonts w:hint="eastAsia" w:ascii="宋体" w:hAnsi="宋体" w:eastAsia="宋体" w:cs="宋体"/>
          <w:color w:val="auto"/>
          <w:sz w:val="21"/>
          <w:szCs w:val="21"/>
          <w:highlight w:val="none"/>
        </w:rPr>
        <w:t xml:space="preserve">投标文件须对招标文件中的内容做出实质性和完整的响应。</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22" w:name="_Toc107246236"/>
      <w:r>
        <w:rPr>
          <w:rFonts w:hint="eastAsia" w:ascii="宋体" w:hAnsi="宋体" w:eastAsia="宋体" w:cs="宋体"/>
          <w:color w:val="auto"/>
          <w:sz w:val="21"/>
          <w:szCs w:val="21"/>
          <w:highlight w:val="none"/>
        </w:rPr>
        <w:t xml:space="preserve">20.投标报价</w:t>
      </w:r>
      <w:bookmarkEnd w:id="122"/>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20.1</w:t>
      </w:r>
      <w:r>
        <w:rPr>
          <w:rFonts w:hint="eastAsia" w:ascii="宋体" w:hAnsi="宋体" w:eastAsia="宋体" w:cs="宋体"/>
          <w:color w:val="auto"/>
          <w:sz w:val="21"/>
          <w:szCs w:val="21"/>
          <w:highlight w:val="none"/>
        </w:rPr>
        <w:t xml:space="preserve">所有投标均以人民币报价，应包括国家规定的增值税税金。</w:t>
      </w:r>
      <w:r/>
    </w:p>
    <w:p>
      <w:pPr>
        <w:ind w:firstLine="422"/>
        <w:jc w:val="left"/>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20.2</w:t>
      </w:r>
      <w:r>
        <w:rPr>
          <w:rFonts w:hint="eastAsia" w:ascii="宋体" w:hAnsi="宋体" w:eastAsia="宋体" w:cs="宋体"/>
          <w:b/>
          <w:color w:val="auto"/>
          <w:sz w:val="21"/>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color w:val="auto"/>
          <w:sz w:val="21"/>
          <w:szCs w:val="21"/>
          <w:highlight w:val="none"/>
        </w:rPr>
        <w:t xml:space="preserve">。</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20.3</w:t>
      </w:r>
      <w:r>
        <w:rPr>
          <w:rFonts w:hint="eastAsia" w:ascii="宋体" w:hAnsi="宋体" w:eastAsia="宋体" w:cs="宋体"/>
          <w:color w:val="auto"/>
          <w:sz w:val="21"/>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20.4投标人要按开标一览表、分项报价表的内容填写投标报价及其它事项。</w:t>
      </w:r>
      <w:r>
        <w:rPr>
          <w:rFonts w:hint="eastAsia" w:ascii="宋体" w:hAnsi="宋体" w:eastAsia="宋体" w:cs="宋体"/>
          <w:b/>
          <w:color w:val="auto"/>
          <w:sz w:val="21"/>
          <w:szCs w:val="21"/>
          <w:highlight w:val="none"/>
        </w:rPr>
        <w:t xml:space="preserve">★开标一览表须加盖公章或电子公章。</w:t>
      </w:r>
      <w:r>
        <w:rPr>
          <w:rFonts w:hint="eastAsia" w:ascii="宋体" w:hAnsi="宋体" w:eastAsia="宋体" w:cs="宋体"/>
          <w:bCs/>
          <w:color w:val="auto"/>
          <w:sz w:val="21"/>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20.5</w:t>
      </w:r>
      <w:r>
        <w:rPr>
          <w:rFonts w:hint="eastAsia" w:ascii="宋体" w:hAnsi="宋体" w:eastAsia="宋体" w:cs="宋体"/>
          <w:color w:val="auto"/>
          <w:sz w:val="21"/>
          <w:szCs w:val="21"/>
          <w:highlight w:val="none"/>
        </w:rPr>
        <w:t xml:space="preserve">投标报价的其他要求见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bookmarkEnd w:id="118"/>
      <w:r/>
      <w:bookmarkEnd w:id="119"/>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23" w:name="_Toc100905224"/>
      <w:r/>
      <w:bookmarkStart w:id="124" w:name="_Toc103848545"/>
      <w:r/>
      <w:bookmarkStart w:id="125" w:name="_Toc107246237"/>
      <w:r/>
      <w:bookmarkStart w:id="126" w:name="_Toc104560859"/>
      <w:r/>
      <w:bookmarkStart w:id="127" w:name="_Toc103848544"/>
      <w:r/>
      <w:bookmarkStart w:id="128" w:name="_Toc100905223"/>
      <w:r/>
      <w:bookmarkStart w:id="129" w:name="_Toc96347878"/>
      <w:r>
        <w:rPr>
          <w:rFonts w:hint="eastAsia" w:ascii="宋体" w:hAnsi="宋体" w:eastAsia="宋体" w:cs="宋体"/>
          <w:color w:val="auto"/>
          <w:sz w:val="21"/>
          <w:szCs w:val="21"/>
          <w:highlight w:val="none"/>
        </w:rPr>
        <w:t xml:space="preserve">21.投标有效期</w:t>
      </w:r>
      <w:bookmarkEnd w:id="123"/>
      <w:r/>
      <w:bookmarkEnd w:id="124"/>
      <w:r/>
      <w:bookmarkEnd w:id="125"/>
      <w:r/>
      <w:bookmarkEnd w:id="126"/>
      <w:r/>
      <w:r/>
    </w:p>
    <w:p>
      <w:pPr>
        <w:ind w:firstLine="42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21.1投标有效期见</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规定的投标截止之日起计算。</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投标有效期不足的，在评标时将其视为无效投标。</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30" w:name="_Toc104560860"/>
      <w:r/>
      <w:bookmarkStart w:id="131" w:name="_Toc107246238"/>
      <w:r>
        <w:rPr>
          <w:rFonts w:hint="eastAsia" w:ascii="宋体" w:hAnsi="宋体" w:eastAsia="宋体" w:cs="宋体"/>
          <w:color w:val="auto"/>
          <w:sz w:val="21"/>
          <w:szCs w:val="21"/>
          <w:highlight w:val="none"/>
        </w:rPr>
        <w:t xml:space="preserve">22.投标保证金</w:t>
      </w:r>
      <w:bookmarkEnd w:id="127"/>
      <w:r/>
      <w:bookmarkEnd w:id="128"/>
      <w:r/>
      <w:bookmarkEnd w:id="129"/>
      <w:r/>
      <w:bookmarkEnd w:id="130"/>
      <w:r/>
      <w:bookmarkEnd w:id="131"/>
      <w:r/>
      <w:r/>
    </w:p>
    <w:p>
      <w:pPr>
        <w:ind w:firstLine="420"/>
        <w:pageBreakBefore w:val="0"/>
        <w:spacing w:line="440" w:lineRule="exact"/>
        <w:rPr>
          <w:rFonts w:hint="eastAsia" w:ascii="宋体" w:hAnsi="宋体" w:eastAsia="宋体" w:cs="宋体"/>
          <w:bCs/>
          <w:color w:val="auto"/>
          <w:sz w:val="21"/>
          <w:szCs w:val="21"/>
          <w:highlight w:val="none"/>
        </w:rPr>
      </w:pPr>
      <w:r/>
      <w:bookmarkStart w:id="132" w:name="_Toc420487862"/>
      <w:r/>
      <w:bookmarkStart w:id="133" w:name="_Toc466452044"/>
      <w:r/>
      <w:bookmarkStart w:id="134" w:name="_Toc68159552"/>
      <w:r/>
      <w:bookmarkStart w:id="135" w:name="_Toc420657357"/>
      <w:r/>
      <w:bookmarkStart w:id="136" w:name="_Toc519241651"/>
      <w:r/>
      <w:bookmarkStart w:id="137" w:name="_Toc96347879"/>
      <w:r>
        <w:rPr>
          <w:rFonts w:hint="eastAsia" w:ascii="宋体" w:hAnsi="宋体" w:eastAsia="宋体" w:cs="宋体"/>
          <w:bCs/>
          <w:color w:val="auto"/>
          <w:sz w:val="21"/>
          <w:szCs w:val="21"/>
          <w:highlight w:val="none"/>
        </w:rPr>
        <w:t xml:space="preserve">22.1本项目是否交纳投标保证金见</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规定交纳投标保证金的，投标人应以支票、汇票、本票或金融机构、担保机构出具的保函等非现金形式，在</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规定的投标截止时间前，向采购方提交</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规定的投标保证金(数额采用四舍五入，计算至元)。投标保证金有效期应与</w:t>
      </w:r>
      <w:r>
        <w:rPr>
          <w:rFonts w:hint="eastAsia" w:ascii="宋体" w:hAnsi="宋体" w:eastAsia="宋体" w:cs="宋体"/>
          <w:b/>
          <w:bCs/>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规定的投标有效期一致。</w:t>
      </w:r>
      <w:r>
        <w:rPr>
          <w:rFonts w:hint="eastAsia" w:ascii="宋体" w:hAnsi="宋体" w:eastAsia="宋体" w:cs="宋体"/>
          <w:b/>
          <w:color w:val="auto"/>
          <w:sz w:val="21"/>
          <w:szCs w:val="21"/>
          <w:highlight w:val="none"/>
        </w:rPr>
        <w:t xml:space="preserve">★投标人未按规定缴纳投标保证金的或</w:t>
      </w:r>
      <w:r>
        <w:rPr>
          <w:rFonts w:hint="eastAsia" w:ascii="宋体" w:hAnsi="宋体" w:eastAsia="宋体" w:cs="宋体"/>
          <w:b/>
          <w:bCs/>
          <w:color w:val="auto"/>
          <w:sz w:val="21"/>
          <w:szCs w:val="21"/>
          <w:highlight w:val="none"/>
        </w:rPr>
        <w:t xml:space="preserve">由于到账时间晚于投标截止时间的，或者票据错误、印鉴不清等原因导致不能到账的，其投标无效。</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22.3联合体投标的，可以由联合体中的一方或者共同提交投标保证金。以一方名义提交投标保证金的，对联合体各方均具有约束力。</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22.4未中标的投标人的投标保证金，将在中标通知书发出后5个工作日内退还，但因投标人自身原因导致无法及时退还的除外。</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22.5中标的投标人的投标保证金，将在政府采购合同签订后5个工作日内退还中标人。</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22.6投标人有以下情形之一的，投标保证金可以不予退还（本款仅适用于要求递交投标保证金的项目）：</w:t>
      </w:r>
      <w:bookmarkEnd w:id="132"/>
      <w:r/>
      <w:bookmarkEnd w:id="133"/>
      <w:r/>
      <w:bookmarkEnd w:id="134"/>
      <w:r/>
      <w:bookmarkEnd w:id="135"/>
      <w:r/>
      <w:bookmarkEnd w:id="136"/>
      <w:r/>
      <w:bookmarkEnd w:id="137"/>
      <w:r/>
      <w:r/>
    </w:p>
    <w:p>
      <w:pPr>
        <w:ind w:firstLine="315"/>
        <w:jc w:val="left"/>
        <w:pageBreakBefore w:val="0"/>
        <w:spacing w:line="440" w:lineRule="exact"/>
        <w:rPr>
          <w:rFonts w:hint="eastAsia" w:ascii="宋体" w:hAnsi="宋体" w:eastAsia="宋体" w:cs="宋体"/>
          <w:color w:val="auto"/>
          <w:sz w:val="21"/>
          <w:szCs w:val="21"/>
          <w:highlight w:val="none"/>
        </w:rPr>
      </w:pPr>
      <w:r/>
      <w:bookmarkStart w:id="138" w:name="_Toc96347880"/>
      <w:r/>
      <w:bookmarkStart w:id="139" w:name="_Toc100905225"/>
      <w:r/>
      <w:bookmarkStart w:id="140" w:name="_Toc103848546"/>
      <w:r/>
      <w:bookmarkStart w:id="141" w:name="_Toc104560861"/>
      <w:r>
        <w:rPr>
          <w:rFonts w:hint="eastAsia" w:ascii="宋体" w:hAnsi="宋体" w:eastAsia="宋体" w:cs="宋体"/>
          <w:color w:val="auto"/>
          <w:sz w:val="21"/>
          <w:szCs w:val="21"/>
          <w:highlight w:val="none"/>
        </w:rPr>
        <w:t xml:space="preserve">（1）投标人在招标文件规定的投标有效期内撤销其投标文件；</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（2）投标人在投标文件中提供虚假材料的；</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（3）投标人在本次采购活动中存在恶意串通行为的；</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（4）中标人未能按规定交纳采购代理服务费；</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（6）招标文件规定的其他可以不予退还投标保证金的情形。</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42" w:name="_Toc107246239"/>
      <w:r>
        <w:rPr>
          <w:rFonts w:hint="eastAsia" w:ascii="宋体" w:hAnsi="宋体" w:eastAsia="宋体" w:cs="宋体"/>
          <w:color w:val="auto"/>
          <w:sz w:val="21"/>
          <w:szCs w:val="21"/>
          <w:highlight w:val="none"/>
        </w:rPr>
        <w:t xml:space="preserve">23.投标文件的制作和签署</w:t>
      </w:r>
      <w:bookmarkEnd w:id="138"/>
      <w:r/>
      <w:bookmarkEnd w:id="139"/>
      <w:r/>
      <w:bookmarkEnd w:id="140"/>
      <w:r/>
      <w:bookmarkEnd w:id="141"/>
      <w:r/>
      <w:bookmarkEnd w:id="142"/>
      <w:r/>
      <w:r/>
    </w:p>
    <w:p>
      <w:pPr>
        <w:ind w:firstLine="420"/>
        <w:pageBreakBefore w:val="0"/>
        <w:spacing w:before="156" w:after="40" w:line="440" w:lineRule="exact"/>
        <w:rPr>
          <w:rFonts w:hint="eastAsia" w:ascii="宋体" w:hAnsi="宋体" w:eastAsia="宋体" w:cs="宋体"/>
          <w:bCs/>
          <w:color w:val="auto"/>
          <w:sz w:val="21"/>
          <w:szCs w:val="21"/>
          <w:highlight w:val="none"/>
        </w:rPr>
      </w:pPr>
      <w:r/>
      <w:bookmarkStart w:id="143" w:name="_Toc107246240"/>
      <w:r>
        <w:rPr>
          <w:rFonts w:hint="eastAsia" w:ascii="宋体" w:hAnsi="宋体" w:eastAsia="宋体" w:cs="宋体"/>
          <w:bCs/>
          <w:color w:val="auto"/>
          <w:sz w:val="21"/>
          <w:szCs w:val="21"/>
          <w:highlight w:val="none"/>
        </w:rPr>
        <w:t xml:space="preserve">23.1</w:t>
      </w:r>
      <w:r>
        <w:rPr>
          <w:rFonts w:hint="eastAsia" w:ascii="宋体" w:hAnsi="宋体" w:eastAsia="宋体" w:cs="宋体"/>
          <w:color w:val="auto"/>
          <w:sz w:val="21"/>
          <w:szCs w:val="21"/>
          <w:highlight w:val="none"/>
        </w:rPr>
        <w:t xml:space="preserve">投标人应当按照《操作手册》规定，在招标公告规定的投标截止时间前制作并上传电子投标文件。</w:t>
      </w:r>
      <w:r>
        <w:rPr>
          <w:rFonts w:hint="eastAsia" w:ascii="宋体" w:hAnsi="宋体" w:eastAsia="宋体" w:cs="宋体"/>
          <w:color w:val="auto"/>
          <w:sz w:val="21"/>
          <w:szCs w:val="21"/>
          <w:highlight w:val="none"/>
          <w:lang w:val="zh-CN"/>
        </w:rPr>
        <w:t xml:space="preserve">招标代理机构拒绝接收提交</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文件截止时间后上传的任何电子</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四．投标文件的递交</w:t>
      </w:r>
      <w:bookmarkEnd w:id="143"/>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44" w:name="_Toc103848548"/>
      <w:r/>
      <w:bookmarkStart w:id="145" w:name="_Toc104560863"/>
      <w:r/>
      <w:bookmarkStart w:id="146" w:name="_Toc96347881"/>
      <w:r/>
      <w:bookmarkStart w:id="147" w:name="_Toc107246241"/>
      <w:r/>
      <w:bookmarkStart w:id="148" w:name="_Toc100905226"/>
      <w:r>
        <w:rPr>
          <w:rFonts w:hint="eastAsia" w:ascii="宋体" w:hAnsi="宋体" w:eastAsia="宋体" w:cs="宋体"/>
          <w:color w:val="auto"/>
          <w:sz w:val="21"/>
          <w:szCs w:val="21"/>
          <w:highlight w:val="none"/>
        </w:rPr>
        <w:t xml:space="preserve">24.</w:t>
      </w:r>
      <w:bookmarkEnd w:id="144"/>
      <w:r/>
      <w:bookmarkEnd w:id="145"/>
      <w:r/>
      <w:bookmarkEnd w:id="146"/>
      <w:r/>
      <w:bookmarkEnd w:id="147"/>
      <w:r/>
      <w:bookmarkEnd w:id="148"/>
      <w:r>
        <w:rPr>
          <w:rFonts w:hint="eastAsia" w:ascii="宋体" w:hAnsi="宋体" w:eastAsia="宋体" w:cs="宋体"/>
          <w:bCs w:val="0"/>
          <w:color w:val="auto"/>
          <w:sz w:val="21"/>
          <w:szCs w:val="21"/>
          <w:highlight w:val="none"/>
        </w:rPr>
        <w:t xml:space="preserve">投标文件的递交</w:t>
      </w:r>
      <w:bookmarkStart w:id="149" w:name="_Toc469850063"/>
      <w:r/>
      <w:bookmarkStart w:id="150" w:name="_Toc4536"/>
      <w:r/>
      <w:bookmarkStart w:id="151" w:name="_Toc97561941"/>
      <w:r/>
      <w:bookmarkStart w:id="152" w:name="_Toc11464"/>
      <w:r/>
      <w:bookmarkStart w:id="153" w:name="_Toc50528805"/>
      <w:r/>
      <w:bookmarkStart w:id="154" w:name="_Toc96347882"/>
      <w:r/>
      <w:bookmarkStart w:id="155" w:name="_Toc38931614"/>
      <w:r/>
      <w:bookmarkStart w:id="156" w:name="_Toc11952"/>
      <w:r/>
      <w:bookmarkStart w:id="157" w:name="_Toc5042"/>
      <w:r/>
      <w:bookmarkStart w:id="158" w:name="_Toc91399404"/>
      <w:r/>
      <w:bookmarkStart w:id="159" w:name="_Toc19963"/>
      <w:r/>
      <w:bookmarkStart w:id="160" w:name="_Toc51928343"/>
      <w:r/>
      <w:bookmarkStart w:id="161" w:name="_Toc103848549"/>
      <w:r/>
      <w:bookmarkStart w:id="162" w:name="_Toc46939510"/>
      <w:r/>
      <w:bookmarkStart w:id="163" w:name="_Toc46960670"/>
      <w:r/>
      <w:bookmarkStart w:id="164" w:name="_Toc89586904"/>
      <w:r/>
      <w:bookmarkStart w:id="165" w:name="_Toc100905227"/>
      <w:r/>
      <w:bookmarkStart w:id="166" w:name="_Toc46219699"/>
      <w:r/>
      <w:bookmarkStart w:id="167" w:name="_Toc38933357"/>
      <w:r/>
      <w:bookmarkStart w:id="168" w:name="_Toc38931800"/>
      <w:r/>
      <w:bookmarkStart w:id="169" w:name="_Toc40202948"/>
      <w:r/>
      <w:bookmarkStart w:id="170" w:name="_Toc48151397"/>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投标人应当按照《操作手册》规定，在招标公告规定的投标截止时间前制作并上传电子投标文件。</w:t>
      </w:r>
      <w:r>
        <w:rPr>
          <w:rFonts w:hint="eastAsia" w:ascii="宋体" w:hAnsi="宋体" w:eastAsia="宋体" w:cs="宋体"/>
          <w:bCs/>
          <w:color w:val="auto"/>
          <w:sz w:val="21"/>
          <w:szCs w:val="21"/>
          <w:highlight w:val="none"/>
          <w:lang w:val="zh-CN"/>
        </w:rPr>
        <w:t xml:space="preserve">招标代理机构拒绝接收提交</w:t>
      </w:r>
      <w:r>
        <w:rPr>
          <w:rFonts w:hint="eastAsia" w:ascii="宋体" w:hAnsi="宋体" w:eastAsia="宋体" w:cs="宋体"/>
          <w:bCs/>
          <w:color w:val="auto"/>
          <w:sz w:val="21"/>
          <w:szCs w:val="21"/>
          <w:highlight w:val="none"/>
        </w:rPr>
        <w:t xml:space="preserve">投标</w:t>
      </w:r>
      <w:r>
        <w:rPr>
          <w:rFonts w:hint="eastAsia" w:ascii="宋体" w:hAnsi="宋体" w:eastAsia="宋体" w:cs="宋体"/>
          <w:bCs/>
          <w:color w:val="auto"/>
          <w:sz w:val="21"/>
          <w:szCs w:val="21"/>
          <w:highlight w:val="none"/>
          <w:lang w:val="zh-CN"/>
        </w:rPr>
        <w:t xml:space="preserve">文件截止时间后上传的任何电子</w:t>
      </w:r>
      <w:r>
        <w:rPr>
          <w:rFonts w:hint="eastAsia" w:ascii="宋体" w:hAnsi="宋体" w:eastAsia="宋体" w:cs="宋体"/>
          <w:bCs/>
          <w:color w:val="auto"/>
          <w:sz w:val="21"/>
          <w:szCs w:val="21"/>
          <w:highlight w:val="none"/>
        </w:rPr>
        <w:t xml:space="preserve">投标</w:t>
      </w:r>
      <w:r>
        <w:rPr>
          <w:rFonts w:hint="eastAsia" w:ascii="宋体" w:hAnsi="宋体" w:eastAsia="宋体" w:cs="宋体"/>
          <w:bCs/>
          <w:color w:val="auto"/>
          <w:sz w:val="21"/>
          <w:szCs w:val="21"/>
          <w:highlight w:val="none"/>
          <w:lang w:val="zh-CN"/>
        </w:rPr>
        <w:t xml:space="preserve">文件。</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71" w:name="_Toc107246242"/>
      <w:r/>
      <w:bookmarkStart w:id="172" w:name="_Toc104560864"/>
      <w:r>
        <w:rPr>
          <w:rFonts w:hint="eastAsia" w:ascii="宋体" w:hAnsi="宋体" w:eastAsia="宋体" w:cs="宋体"/>
          <w:color w:val="auto"/>
          <w:sz w:val="21"/>
          <w:szCs w:val="21"/>
          <w:highlight w:val="none"/>
        </w:rPr>
        <w:t xml:space="preserve">25.</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color w:val="auto"/>
          <w:sz w:val="21"/>
          <w:szCs w:val="21"/>
          <w:highlight w:val="none"/>
        </w:rPr>
        <w:t xml:space="preserve">投标文件解密</w:t>
      </w:r>
      <w:r/>
    </w:p>
    <w:p>
      <w:pPr>
        <w:ind w:firstLine="420"/>
        <w:pageBreakBefore w:val="0"/>
        <w:spacing w:line="440" w:lineRule="exact"/>
        <w:rPr>
          <w:rFonts w:hint="eastAsia" w:ascii="宋体" w:hAnsi="宋体" w:eastAsia="宋体" w:cs="宋体"/>
          <w:bCs/>
          <w:color w:val="auto"/>
          <w:sz w:val="21"/>
          <w:szCs w:val="21"/>
          <w:highlight w:val="none"/>
        </w:rPr>
      </w:pPr>
      <w:r/>
      <w:bookmarkStart w:id="173" w:name="_Toc96347883"/>
      <w:r>
        <w:rPr>
          <w:rFonts w:hint="eastAsia" w:ascii="宋体" w:hAnsi="宋体" w:eastAsia="宋体" w:cs="宋体"/>
          <w:bCs/>
          <w:color w:val="auto"/>
          <w:sz w:val="21"/>
          <w:szCs w:val="21"/>
          <w:highlight w:val="none"/>
        </w:rPr>
        <w:t xml:space="preserve">25.1投标人</w:t>
      </w:r>
      <w:r>
        <w:rPr>
          <w:rFonts w:hint="eastAsia" w:ascii="宋体" w:hAnsi="宋体" w:eastAsia="宋体" w:cs="宋体"/>
          <w:bCs/>
          <w:color w:val="auto"/>
          <w:sz w:val="21"/>
          <w:szCs w:val="21"/>
          <w:highlight w:val="none"/>
          <w:lang w:val="zh-CN"/>
        </w:rPr>
        <w:t xml:space="preserve">应当按照《操作手册》规定，在“苏采云”系统规定的时间内对</w:t>
      </w:r>
      <w:r>
        <w:rPr>
          <w:rFonts w:hint="eastAsia" w:ascii="宋体" w:hAnsi="宋体" w:eastAsia="宋体" w:cs="宋体"/>
          <w:bCs/>
          <w:color w:val="auto"/>
          <w:sz w:val="21"/>
          <w:szCs w:val="21"/>
          <w:highlight w:val="none"/>
        </w:rPr>
        <w:t xml:space="preserve">投标</w:t>
      </w:r>
      <w:r>
        <w:rPr>
          <w:rFonts w:hint="eastAsia" w:ascii="宋体" w:hAnsi="宋体" w:eastAsia="宋体" w:cs="宋体"/>
          <w:bCs/>
          <w:color w:val="auto"/>
          <w:sz w:val="21"/>
          <w:szCs w:val="21"/>
          <w:highlight w:val="none"/>
          <w:lang w:val="zh-CN"/>
        </w:rPr>
        <w:t xml:space="preserve">文件进行解密。</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25.2投标人应充分考虑网络环境、网络带宽等因素可能对投标产生的影响，如因投标人自身原因造成的电子投标文件解密不成功的，</w:t>
      </w:r>
      <w:r>
        <w:rPr>
          <w:rFonts w:hint="eastAsia" w:ascii="宋体" w:hAnsi="宋体" w:eastAsia="宋体" w:cs="宋体"/>
          <w:bCs/>
          <w:color w:val="auto"/>
          <w:sz w:val="21"/>
          <w:szCs w:val="21"/>
          <w:highlight w:val="none"/>
          <w:lang w:eastAsia="zh-CN"/>
        </w:rPr>
        <w:t xml:space="preserve">作</w:t>
      </w:r>
      <w:r>
        <w:rPr>
          <w:rFonts w:hint="eastAsia" w:ascii="宋体" w:hAnsi="宋体" w:eastAsia="宋体" w:cs="宋体"/>
          <w:bCs/>
          <w:color w:val="auto"/>
          <w:sz w:val="21"/>
          <w:szCs w:val="21"/>
          <w:highlight w:val="none"/>
        </w:rPr>
        <w:t xml:space="preserve">无效投标处理。</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74" w:name="_Toc107246243"/>
      <w:r/>
      <w:bookmarkStart w:id="175" w:name="_Toc104560865"/>
      <w:r/>
      <w:bookmarkStart w:id="176" w:name="_Toc103848550"/>
      <w:r/>
      <w:bookmarkStart w:id="177" w:name="_Toc100905228"/>
      <w:r>
        <w:rPr>
          <w:rFonts w:hint="eastAsia" w:ascii="宋体" w:hAnsi="宋体" w:eastAsia="宋体" w:cs="宋体"/>
          <w:color w:val="auto"/>
          <w:sz w:val="21"/>
          <w:szCs w:val="21"/>
          <w:highlight w:val="none"/>
        </w:rPr>
        <w:t xml:space="preserve">26.投标文件的修改和撤回</w:t>
      </w:r>
      <w:bookmarkEnd w:id="114"/>
      <w:r/>
      <w:bookmarkEnd w:id="173"/>
      <w:r/>
      <w:bookmarkEnd w:id="174"/>
      <w:r/>
      <w:bookmarkEnd w:id="175"/>
      <w:r/>
      <w:bookmarkEnd w:id="176"/>
      <w:r/>
      <w:bookmarkEnd w:id="177"/>
      <w:r/>
      <w:r/>
    </w:p>
    <w:p>
      <w:pPr>
        <w:ind w:firstLine="420"/>
        <w:pageBreakBefore w:val="0"/>
        <w:spacing w:before="156" w:after="40" w:line="440" w:lineRule="exact"/>
        <w:rPr>
          <w:rFonts w:hint="eastAsia" w:ascii="宋体" w:hAnsi="宋体" w:eastAsia="宋体" w:cs="宋体"/>
          <w:bCs/>
          <w:color w:val="auto"/>
          <w:sz w:val="21"/>
          <w:szCs w:val="21"/>
          <w:highlight w:val="none"/>
        </w:rPr>
      </w:pPr>
      <w:r/>
      <w:bookmarkStart w:id="178" w:name="_Toc80264714"/>
      <w:r>
        <w:rPr>
          <w:rFonts w:hint="eastAsia" w:ascii="宋体" w:hAnsi="宋体" w:eastAsia="宋体" w:cs="宋体"/>
          <w:bCs/>
          <w:color w:val="auto"/>
          <w:sz w:val="21"/>
          <w:szCs w:val="21"/>
          <w:highlight w:val="none"/>
          <w:lang w:val="zh-CN"/>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26.2投标人对投标文件的补充、修改的内容应当按照采购文件要求签署、盖章、密封后，作为投标文件的组成部分。</w:t>
      </w:r>
      <w:r/>
    </w:p>
    <w:p>
      <w:pPr>
        <w:ind w:firstLine="420"/>
        <w:pageBreakBefore w:val="0"/>
        <w:spacing w:before="156" w:after="4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26.3 在投标截止时间之后，投标人不得对其投标文件作任何修改。</w:t>
      </w:r>
      <w:r/>
    </w:p>
    <w:p>
      <w:pPr>
        <w:ind w:firstLine="420"/>
        <w:pageBreakBefore w:val="0"/>
        <w:spacing w:before="156" w:after="40"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26.4 在投标截止时间至采购文件中规定的投标有效期满之间的这段时间内，投标人不得撤回其投标。</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79" w:name="_Toc107246244"/>
      <w:r/>
      <w:bookmarkStart w:id="180" w:name="_Toc104560866"/>
      <w:r/>
      <w:bookmarkStart w:id="181" w:name="_Toc103848551"/>
      <w:r>
        <w:rPr>
          <w:rFonts w:hint="eastAsia" w:ascii="宋体" w:hAnsi="宋体" w:eastAsia="宋体" w:cs="宋体"/>
          <w:color w:val="auto"/>
          <w:sz w:val="21"/>
          <w:szCs w:val="21"/>
          <w:highlight w:val="none"/>
        </w:rPr>
        <w:t xml:space="preserve">27.诚实信用</w:t>
      </w:r>
      <w:bookmarkEnd w:id="179"/>
      <w:r/>
      <w:bookmarkEnd w:id="180"/>
      <w:r/>
      <w:bookmarkEnd w:id="181"/>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27.1投标人应当遵循公平竞争的原则，不得恶意串通，不得妨碍其他投标人的竞争行为，不得损害采购人或者其他投标人的合法权益。</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27.2在评标过程中发现投标人有上述情形的，评标委员会应当认定其投标无效，并书面报告本级财政部门。</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82" w:name="_Toc107246245"/>
      <w:r>
        <w:rPr>
          <w:rFonts w:hint="eastAsia" w:ascii="宋体" w:hAnsi="宋体" w:eastAsia="宋体" w:cs="宋体"/>
          <w:color w:val="auto"/>
          <w:sz w:val="21"/>
          <w:szCs w:val="21"/>
          <w:highlight w:val="none"/>
        </w:rPr>
        <w:t xml:space="preserve">五．开标和评标</w:t>
      </w:r>
      <w:bookmarkEnd w:id="182"/>
      <w:r/>
      <w:bookmarkStart w:id="183" w:name="_Toc96347885"/>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84" w:name="_Toc103848553"/>
      <w:r/>
      <w:bookmarkStart w:id="185" w:name="_Toc107246246"/>
      <w:r/>
      <w:bookmarkStart w:id="186" w:name="_Toc104560868"/>
      <w:r/>
      <w:bookmarkStart w:id="187" w:name="_Toc100905230"/>
      <w:r>
        <w:rPr>
          <w:rFonts w:hint="eastAsia" w:ascii="宋体" w:hAnsi="宋体" w:eastAsia="宋体" w:cs="宋体"/>
          <w:color w:val="auto"/>
          <w:sz w:val="21"/>
          <w:szCs w:val="21"/>
          <w:highlight w:val="none"/>
        </w:rPr>
        <w:t xml:space="preserve">28.开标</w:t>
      </w:r>
      <w:bookmarkEnd w:id="183"/>
      <w:r/>
      <w:bookmarkEnd w:id="184"/>
      <w:r/>
      <w:bookmarkEnd w:id="185"/>
      <w:r/>
      <w:bookmarkEnd w:id="186"/>
      <w:r/>
      <w:bookmarkEnd w:id="187"/>
      <w:r/>
      <w:r/>
    </w:p>
    <w:p>
      <w:pPr>
        <w:ind w:firstLine="420"/>
        <w:pageBreakBefore w:val="0"/>
        <w:spacing w:line="440" w:lineRule="exact"/>
        <w:rPr>
          <w:rFonts w:hint="eastAsia" w:ascii="宋体" w:hAnsi="宋体" w:eastAsia="宋体" w:cs="宋体"/>
          <w:bCs/>
          <w:color w:val="auto"/>
          <w:sz w:val="21"/>
          <w:szCs w:val="21"/>
          <w:highlight w:val="none"/>
        </w:rPr>
      </w:pPr>
      <w:r/>
      <w:bookmarkStart w:id="188" w:name="_Toc107246247"/>
      <w:r/>
      <w:bookmarkStart w:id="189" w:name="_Toc100905231"/>
      <w:r>
        <w:rPr>
          <w:rFonts w:hint="eastAsia" w:ascii="宋体" w:hAnsi="宋体" w:eastAsia="宋体" w:cs="宋体"/>
          <w:bCs/>
          <w:color w:val="auto"/>
          <w:sz w:val="21"/>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 投标人在开标过程中</w:t>
      </w:r>
      <w:r>
        <w:rPr>
          <w:rFonts w:hint="eastAsia" w:ascii="宋体" w:hAnsi="宋体" w:eastAsia="宋体" w:cs="宋体"/>
          <w:bCs/>
          <w:color w:val="auto"/>
          <w:sz w:val="21"/>
          <w:szCs w:val="21"/>
          <w:highlight w:val="none"/>
          <w:lang w:eastAsia="zh-CN"/>
        </w:rPr>
        <w:t xml:space="preserve">涉及</w:t>
      </w:r>
      <w:r>
        <w:rPr>
          <w:rFonts w:hint="eastAsia" w:ascii="宋体" w:hAnsi="宋体" w:eastAsia="宋体" w:cs="宋体"/>
          <w:bCs/>
          <w:color w:val="auto"/>
          <w:sz w:val="21"/>
          <w:szCs w:val="21"/>
          <w:highlight w:val="none"/>
        </w:rPr>
        <w:t xml:space="preserve">的投标文件解密、开标结果确认等工作，应按照《操作手册》规定执行。</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28.3投标人不足3家的，不得开标。</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28.4投标人如果对开标过程和开标结果有疑义，应当根据《操作手册》规定提出，“苏采云”系统中《开标记录表》公布后5分钟内未提出的，视同认可开标结果。</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（1）招标文件存在不合理条款或者招标程序不符合规定的，采购人、采购代理机构改正后依法重新招标；</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（2）招标文件没有不合理条款、招标程序符合规定，需要采用其他采购方式采购的，采购人依法报财政部门批准，经批准后，可变更为其他采购方式采购。</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28.6投标人未参加开标的，视同认可开标结果。</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29.资格性审查</w:t>
      </w:r>
      <w:bookmarkEnd w:id="188"/>
      <w:r/>
      <w:r/>
    </w:p>
    <w:p>
      <w:pPr>
        <w:ind w:firstLine="420"/>
        <w:pageBreakBefore w:val="0"/>
        <w:spacing w:line="440" w:lineRule="exact"/>
        <w:rPr>
          <w:rFonts w:hint="eastAsia" w:ascii="宋体" w:hAnsi="宋体" w:eastAsia="宋体" w:cs="宋体"/>
          <w:bCs/>
          <w:color w:val="auto"/>
          <w:sz w:val="21"/>
          <w:szCs w:val="21"/>
          <w:highlight w:val="none"/>
        </w:rPr>
      </w:pPr>
      <w:r/>
      <w:bookmarkStart w:id="190" w:name="_Toc104560869"/>
      <w:r/>
      <w:bookmarkStart w:id="191" w:name="_Toc103848554"/>
      <w:r>
        <w:rPr>
          <w:rFonts w:hint="eastAsia" w:ascii="宋体" w:hAnsi="宋体" w:eastAsia="宋体" w:cs="宋体"/>
          <w:bCs/>
          <w:color w:val="auto"/>
          <w:sz w:val="21"/>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29.2</w:t>
      </w:r>
      <w:r>
        <w:rPr>
          <w:rFonts w:hint="eastAsia" w:ascii="宋体" w:hAnsi="宋体" w:eastAsia="宋体" w:cs="宋体"/>
          <w:b/>
          <w:color w:val="auto"/>
          <w:sz w:val="21"/>
          <w:szCs w:val="21"/>
          <w:highlight w:val="none"/>
        </w:rPr>
        <w:t xml:space="preserve">投标人不具备招标文件规定的投标人资格条件的</w:t>
      </w:r>
      <w:r>
        <w:rPr>
          <w:rFonts w:hint="eastAsia" w:ascii="宋体" w:hAnsi="宋体" w:eastAsia="宋体" w:cs="宋体"/>
          <w:b/>
          <w:bCs/>
          <w:color w:val="auto"/>
          <w:sz w:val="21"/>
          <w:szCs w:val="21"/>
          <w:highlight w:val="none"/>
        </w:rPr>
        <w:t xml:space="preserve">，应在资格审查时按照无效投标处理。</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29.3已经进行资格预审的，可以不再对投标人资格进行审查，资格预审合格的投标人在评标阶段资格发生变化的，应当通知采购方。</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92" w:name="_Toc107246248"/>
      <w:r>
        <w:rPr>
          <w:rFonts w:hint="eastAsia" w:ascii="宋体" w:hAnsi="宋体" w:eastAsia="宋体" w:cs="宋体"/>
          <w:color w:val="auto"/>
          <w:sz w:val="21"/>
          <w:szCs w:val="21"/>
          <w:highlight w:val="none"/>
        </w:rPr>
        <w:t xml:space="preserve">30.评标</w:t>
      </w:r>
      <w:bookmarkEnd w:id="190"/>
      <w:r/>
      <w:bookmarkEnd w:id="191"/>
      <w:r/>
      <w:bookmarkEnd w:id="192"/>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93" w:name="_Toc107246249"/>
      <w:r/>
      <w:bookmarkStart w:id="194" w:name="_Toc104560870"/>
      <w:r/>
      <w:bookmarkStart w:id="195" w:name="_Toc103848555"/>
      <w:r>
        <w:rPr>
          <w:rFonts w:hint="eastAsia" w:ascii="宋体" w:hAnsi="宋体" w:eastAsia="宋体" w:cs="宋体"/>
          <w:color w:val="auto"/>
          <w:sz w:val="21"/>
          <w:szCs w:val="21"/>
          <w:highlight w:val="none"/>
        </w:rPr>
        <w:t xml:space="preserve">30.1评标委员会</w:t>
      </w:r>
      <w:bookmarkEnd w:id="193"/>
      <w:r/>
      <w:bookmarkEnd w:id="194"/>
      <w:r/>
      <w:bookmarkEnd w:id="195"/>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30.1.1评标委员会成员组成见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bCs/>
          <w:color w:val="auto"/>
          <w:sz w:val="21"/>
          <w:szCs w:val="21"/>
          <w:highlight w:val="none"/>
        </w:rPr>
        <w:t xml:space="preserve">，负责具体评标事务，并独立履行职责。</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196" w:name="_Toc104560871"/>
      <w:r/>
      <w:bookmarkStart w:id="197" w:name="_Toc103848556"/>
      <w:r/>
      <w:bookmarkStart w:id="198" w:name="_Toc107246250"/>
      <w:r>
        <w:rPr>
          <w:rFonts w:hint="eastAsia" w:ascii="宋体" w:hAnsi="宋体" w:eastAsia="宋体" w:cs="宋体"/>
          <w:color w:val="auto"/>
          <w:sz w:val="21"/>
          <w:szCs w:val="21"/>
          <w:highlight w:val="none"/>
        </w:rPr>
        <w:t xml:space="preserve">30.2</w:t>
      </w:r>
      <w:bookmarkEnd w:id="196"/>
      <w:r/>
      <w:bookmarkEnd w:id="197"/>
      <w:r>
        <w:rPr>
          <w:rFonts w:hint="eastAsia" w:ascii="宋体" w:hAnsi="宋体" w:eastAsia="宋体" w:cs="宋体"/>
          <w:color w:val="auto"/>
          <w:sz w:val="21"/>
          <w:szCs w:val="21"/>
          <w:highlight w:val="none"/>
        </w:rPr>
        <w:t xml:space="preserve">符合性审查</w:t>
      </w:r>
      <w:bookmarkEnd w:id="198"/>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30.2.2如果投标文件没有响应招标文件实质性要求，评标委员会将予以拒绝，投标人不得通过修改或撤销</w:t>
      </w:r>
      <w:r>
        <w:rPr>
          <w:rFonts w:hint="eastAsia" w:ascii="宋体" w:hAnsi="宋体" w:eastAsia="宋体" w:cs="宋体"/>
          <w:b/>
          <w:bCs/>
          <w:color w:val="auto"/>
          <w:sz w:val="21"/>
          <w:szCs w:val="21"/>
          <w:highlight w:val="none"/>
          <w:lang w:eastAsia="zh-CN"/>
        </w:rPr>
        <w:t xml:space="preserve">不符</w:t>
      </w:r>
      <w:r>
        <w:rPr>
          <w:rFonts w:hint="eastAsia" w:ascii="宋体" w:hAnsi="宋体" w:eastAsia="宋体" w:cs="宋体"/>
          <w:b/>
          <w:bCs/>
          <w:color w:val="auto"/>
          <w:sz w:val="21"/>
          <w:szCs w:val="21"/>
          <w:highlight w:val="none"/>
        </w:rPr>
        <w:t xml:space="preserve">合要求的偏离或保留而使其投标成为实质性响应的投标。</w:t>
      </w:r>
      <w:r/>
    </w:p>
    <w:p>
      <w:pPr>
        <w:ind w:firstLine="422"/>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30.2.3投标文件有下列情况之一的，在符合性检查时按照无效投标处理：</w:t>
      </w:r>
      <w:bookmarkEnd w:id="189"/>
      <w:r/>
      <w:r/>
    </w:p>
    <w:p>
      <w:pPr>
        <w:ind w:firstLine="420"/>
        <w:pageBreakBefore w:val="0"/>
        <w:spacing w:line="440" w:lineRule="exact"/>
        <w:rPr>
          <w:rFonts w:hint="eastAsia" w:ascii="宋体" w:hAnsi="宋体" w:eastAsia="宋体" w:cs="宋体"/>
          <w:bCs/>
          <w:color w:val="auto"/>
          <w:sz w:val="21"/>
          <w:szCs w:val="21"/>
          <w:highlight w:val="none"/>
        </w:rPr>
      </w:pPr>
      <w:r/>
      <w:bookmarkStart w:id="199" w:name="_Toc104560872"/>
      <w:r/>
      <w:bookmarkStart w:id="200" w:name="_Toc107246251"/>
      <w:r/>
      <w:bookmarkStart w:id="201" w:name="_Toc103848557"/>
      <w:r>
        <w:rPr>
          <w:rFonts w:hint="eastAsia" w:ascii="宋体" w:hAnsi="宋体" w:eastAsia="宋体" w:cs="宋体"/>
          <w:bCs/>
          <w:color w:val="auto"/>
          <w:sz w:val="21"/>
          <w:szCs w:val="21"/>
          <w:highlight w:val="none"/>
        </w:rPr>
        <w:t xml:space="preserve">（1）投标人在“苏采云”系统规定的时间内未成功解密电子投标文件的；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（2）投标人未按照招标文件要求上传电子投标文件的；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（3）同一投标人提交两个（含两个）以上不同的投标报价的；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（4）投标文件未按照招标文件要求签署或盖章的；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（5）不具备招标文件中规定的资格要求的；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（6）报价超过招标文件中规定的预算金额或者最高限价的；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（7）投标文件含有采购人不能接受的附加条件的；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（8）投标文件内容不全或不符合招标文件中规定的其他实质性要求的；</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评标委员会发现投标人报价低于采购项目预算50%，或者低于采购项目最高限价45%，或者认为投标人的报价过低，有可能影响产品或服务质量或不能诚信履约的，应当启动异常低价投标审查机制，应当通过苏采云系统要求投标人在合理的时间内提供项目具体成本测算等与报价合理性相关说明及相关证明材料。投标人不提供合理性说明及证明材料，或者合理性说明、证明材料不能证明其报价合理性的，评标委员会应当将其作为无效投标处理。</w:t>
      </w:r>
      <w:r/>
    </w:p>
    <w:p>
      <w:pPr>
        <w:ind w:firstLine="420"/>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）现行</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、规章和招标文件规定的其他无效情形。</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30.3投标文件澄清</w:t>
      </w:r>
      <w:bookmarkEnd w:id="199"/>
      <w:r/>
      <w:bookmarkEnd w:id="200"/>
      <w:r/>
      <w:bookmarkEnd w:id="201"/>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30.3.3评标委员会不接受投标人主动提出的澄清、说明。</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30.3.4有效的书面澄清材料，是投标文件的补充材料，成为投标文件的组成部分。</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发现投标人报价低于采购项目预算50%，或者低于采购项目最高限价45%，或者认为投标人的报价过低，有可能影响产品或服务质量或不能诚信履约的，应当启动异常低价投标审查机制，应当通过苏采云系统</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投标人在合理的时间内提供项目具体成本测算等与报价合理性相关说明及相关证明材料。投标人不提供</w:t>
      </w:r>
      <w:r>
        <w:rPr>
          <w:rFonts w:hint="eastAsia" w:ascii="宋体" w:hAnsi="宋体" w:eastAsia="宋体" w:cs="宋体"/>
          <w:color w:val="auto"/>
          <w:sz w:val="21"/>
          <w:szCs w:val="21"/>
          <w:highlight w:val="none"/>
          <w:lang w:val="en-US" w:eastAsia="zh-CN"/>
        </w:rPr>
        <w:t xml:space="preserve">合理性</w:t>
      </w:r>
      <w:r>
        <w:rPr>
          <w:rFonts w:hint="eastAsia" w:ascii="宋体" w:hAnsi="宋体" w:eastAsia="宋体" w:cs="宋体"/>
          <w:color w:val="auto"/>
          <w:sz w:val="21"/>
          <w:szCs w:val="21"/>
          <w:highlight w:val="none"/>
        </w:rPr>
        <w:t xml:space="preserve">说明及证明材料，或者</w:t>
      </w:r>
      <w:r>
        <w:rPr>
          <w:rFonts w:hint="eastAsia" w:ascii="宋体" w:hAnsi="宋体" w:eastAsia="宋体" w:cs="宋体"/>
          <w:color w:val="auto"/>
          <w:sz w:val="21"/>
          <w:szCs w:val="21"/>
          <w:highlight w:val="none"/>
          <w:lang w:val="en-US" w:eastAsia="zh-CN"/>
        </w:rPr>
        <w:t xml:space="preserve">合理性</w:t>
      </w:r>
      <w:r>
        <w:rPr>
          <w:rFonts w:hint="eastAsia" w:ascii="宋体" w:hAnsi="宋体" w:eastAsia="宋体" w:cs="宋体"/>
          <w:color w:val="auto"/>
          <w:sz w:val="21"/>
          <w:szCs w:val="21"/>
          <w:highlight w:val="none"/>
        </w:rPr>
        <w:t xml:space="preserve">说明、证明材料不能证明其报价合理性的，评标委员会应当将其作为无效投标处理。</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02" w:name="_Toc107246252"/>
      <w:r>
        <w:rPr>
          <w:rFonts w:hint="eastAsia" w:ascii="宋体" w:hAnsi="宋体" w:eastAsia="宋体" w:cs="宋体"/>
          <w:color w:val="auto"/>
          <w:sz w:val="21"/>
          <w:szCs w:val="21"/>
          <w:highlight w:val="none"/>
        </w:rPr>
        <w:t xml:space="preserve">30.4</w:t>
      </w:r>
      <w:bookmarkEnd w:id="202"/>
      <w:r>
        <w:rPr>
          <w:rFonts w:hint="eastAsia" w:ascii="宋体" w:hAnsi="宋体" w:eastAsia="宋体" w:cs="宋体"/>
          <w:color w:val="auto"/>
          <w:sz w:val="21"/>
          <w:szCs w:val="21"/>
          <w:highlight w:val="none"/>
        </w:rPr>
        <w:t xml:space="preserve">报价修正</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30.4.1投标文件报价出现前后不一致的，除招标文件另有规定外，按照下列规定修正：</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（1）投标文件中开标一览表（报价表）内容与投标文件中相应内容不一致的，以开标一览表（报价表）为准；</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同时出现两种以上不一致的，按照前款规定的顺序修正。修正后的报价按照上述规定经投标人确认后产生约束力，投标人不确认的，其投标无效。</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03" w:name="_Toc104560873"/>
      <w:r/>
      <w:bookmarkStart w:id="204" w:name="_Toc107246253"/>
      <w:r/>
      <w:bookmarkStart w:id="205" w:name="_Toc103848558"/>
      <w:r>
        <w:rPr>
          <w:rFonts w:hint="eastAsia" w:ascii="宋体" w:hAnsi="宋体" w:eastAsia="宋体" w:cs="宋体"/>
          <w:color w:val="auto"/>
          <w:sz w:val="21"/>
          <w:szCs w:val="21"/>
          <w:highlight w:val="none"/>
        </w:rPr>
        <w:t xml:space="preserve">30.5同品牌多家投标人处理原则</w:t>
      </w:r>
      <w:bookmarkEnd w:id="203"/>
      <w:r/>
      <w:bookmarkEnd w:id="204"/>
      <w:r/>
      <w:bookmarkEnd w:id="205"/>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30.5.3非单一产品采购项目，根据采购项目技术构成、产品价格比重等合理确定核心产品，核心产品见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。多家投标人提供的核心产品品牌相同的，按前两款规定处理。</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06" w:name="_Toc103848559"/>
      <w:r/>
      <w:bookmarkStart w:id="207" w:name="_Toc104560874"/>
      <w:r/>
      <w:bookmarkStart w:id="208" w:name="_Toc107246254"/>
      <w:r>
        <w:rPr>
          <w:rFonts w:hint="eastAsia" w:ascii="宋体" w:hAnsi="宋体" w:eastAsia="宋体" w:cs="宋体"/>
          <w:color w:val="auto"/>
          <w:sz w:val="21"/>
          <w:szCs w:val="21"/>
          <w:highlight w:val="none"/>
        </w:rPr>
        <w:t xml:space="preserve">30.6比较与评价</w:t>
      </w:r>
      <w:bookmarkEnd w:id="206"/>
      <w:r/>
      <w:bookmarkEnd w:id="207"/>
      <w:r/>
      <w:bookmarkEnd w:id="208"/>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30.6.1评标委员会应当按照招标文件中第五章《评标方法和评标标准》，对符合性审查合格的投标文件进行比较与评价。</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09" w:name="_Toc107246255"/>
      <w:r>
        <w:rPr>
          <w:rFonts w:hint="eastAsia" w:ascii="宋体" w:hAnsi="宋体" w:eastAsia="宋体" w:cs="宋体"/>
          <w:color w:val="auto"/>
          <w:sz w:val="21"/>
          <w:szCs w:val="21"/>
          <w:highlight w:val="none"/>
        </w:rPr>
        <w:t xml:space="preserve">30.7编写评标报告</w:t>
      </w:r>
      <w:bookmarkEnd w:id="209"/>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30.7.1评标委员会根据全体评标成员签字的原始评标记录和评标结果编写评标报告。</w:t>
      </w:r>
      <w:r/>
    </w:p>
    <w:p>
      <w:pPr>
        <w:pStyle w:val="697"/>
        <w:ind w:left="0" w:right="210" w:firstLine="373"/>
        <w:pageBreakBefore w:val="0"/>
        <w:spacing w:line="440" w:lineRule="exact"/>
        <w:tabs>
          <w:tab w:val="left" w:pos="5882" w:leader="none"/>
        </w:tabs>
        <w:rPr>
          <w:rFonts w:hint="eastAsia" w:ascii="宋体" w:hAnsi="宋体" w:eastAsia="宋体" w:cs="宋体"/>
          <w:color w:val="auto"/>
          <w:sz w:val="21"/>
          <w:szCs w:val="21"/>
          <w:highlight w:val="none"/>
        </w:rPr>
      </w:pPr>
      <w:r/>
      <w:bookmarkStart w:id="210" w:name="_Toc107246256"/>
      <w:r/>
      <w:bookmarkStart w:id="211" w:name="_Toc104560876"/>
      <w:r/>
      <w:bookmarkStart w:id="212" w:name="_Toc103848561"/>
      <w:r>
        <w:rPr>
          <w:rFonts w:hint="eastAsia" w:ascii="宋体" w:hAnsi="宋体" w:eastAsia="宋体" w:cs="宋体"/>
          <w:color w:val="auto"/>
          <w:sz w:val="21"/>
          <w:szCs w:val="21"/>
          <w:highlight w:val="none"/>
        </w:rPr>
        <w:t xml:space="preserve">30.8评标过程的保密</w:t>
      </w:r>
      <w:bookmarkEnd w:id="210"/>
      <w:r/>
      <w:bookmarkEnd w:id="211"/>
      <w:r/>
      <w:bookmarkEnd w:id="212"/>
      <w:r>
        <w:rPr>
          <w:rFonts w:hint="eastAsia" w:ascii="宋体" w:hAnsi="宋体" w:eastAsia="宋体" w:cs="宋体"/>
          <w:color w:val="auto"/>
          <w:sz w:val="21"/>
          <w:szCs w:val="21"/>
          <w:highlight w:val="none"/>
        </w:rPr>
        <w:tab/>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30.8.1评标委员会成员名单在评标结果公示前应当保密。</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30.8.2采购方应当采取必要的措施，保证评标在严格保密的情况下进行。</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30.8.3有关人员对评标情况以及在评标过程中获悉的国家秘密、商业秘密负有保密责任。</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13" w:name="_Toc107246257"/>
      <w:r>
        <w:rPr>
          <w:rFonts w:hint="eastAsia" w:ascii="宋体" w:hAnsi="宋体" w:eastAsia="宋体" w:cs="宋体"/>
          <w:color w:val="auto"/>
          <w:sz w:val="21"/>
          <w:szCs w:val="21"/>
          <w:highlight w:val="none"/>
        </w:rPr>
        <w:t xml:space="preserve">六．确定中标</w:t>
      </w:r>
      <w:bookmarkEnd w:id="213"/>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14" w:name="_Toc104560878"/>
      <w:r/>
      <w:bookmarkStart w:id="215" w:name="_Toc103848563"/>
      <w:r/>
      <w:bookmarkStart w:id="216" w:name="_Toc107246258"/>
      <w:r>
        <w:rPr>
          <w:rFonts w:hint="eastAsia" w:ascii="宋体" w:hAnsi="宋体" w:eastAsia="宋体" w:cs="宋体"/>
          <w:color w:val="auto"/>
          <w:sz w:val="21"/>
          <w:szCs w:val="21"/>
          <w:highlight w:val="none"/>
        </w:rPr>
        <w:t xml:space="preserve">31.确定中标</w:t>
      </w:r>
      <w:bookmarkEnd w:id="214"/>
      <w:r/>
      <w:bookmarkEnd w:id="215"/>
      <w:r>
        <w:rPr>
          <w:rFonts w:hint="eastAsia" w:ascii="宋体" w:hAnsi="宋体" w:eastAsia="宋体" w:cs="宋体"/>
          <w:color w:val="auto"/>
          <w:sz w:val="21"/>
          <w:szCs w:val="21"/>
          <w:highlight w:val="none"/>
        </w:rPr>
        <w:t xml:space="preserve">人</w:t>
      </w:r>
      <w:bookmarkEnd w:id="216"/>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bookmarkStart w:id="217" w:name="OLE_LINK7"/>
      <w:r/>
      <w:bookmarkStart w:id="218" w:name="OLE_LINK8"/>
      <w:r>
        <w:rPr>
          <w:rFonts w:hint="eastAsia" w:ascii="宋体" w:hAnsi="宋体" w:eastAsia="宋体" w:cs="宋体"/>
          <w:color w:val="auto"/>
          <w:sz w:val="21"/>
          <w:szCs w:val="21"/>
          <w:highlight w:val="none"/>
        </w:rPr>
        <w:t xml:space="preserve">评委会根据本采购文件规定评分办法与评分标准综合打分，并按综合得分由高到低顺序向项目采购人推荐3名中标候选人。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 采用综合评分法的，综合比较与评价后按照得分高低顺序对供应商进行排列；得分相同的，按投标报价由低到高顺序排列；得分且投标报价相同的，按技术指标优劣顺序排列。</w:t>
      </w:r>
      <w:bookmarkEnd w:id="217"/>
      <w:r/>
      <w:bookmarkEnd w:id="218"/>
      <w:r>
        <w:rPr>
          <w:rFonts w:hint="eastAsia" w:ascii="宋体" w:hAnsi="宋体" w:eastAsia="宋体" w:cs="宋体"/>
          <w:color w:val="auto"/>
          <w:sz w:val="21"/>
          <w:szCs w:val="21"/>
          <w:highlight w:val="none"/>
        </w:rPr>
        <w:t xml:space="preserve">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line="440" w:lineRule="exact"/>
        <w:rPr>
          <w:rFonts w:hint="eastAsia" w:ascii="宋体" w:hAnsi="宋体" w:eastAsia="宋体" w:cs="宋体"/>
          <w:color w:val="auto"/>
          <w:sz w:val="21"/>
          <w:szCs w:val="21"/>
          <w:highlight w:val="none"/>
        </w:rPr>
      </w:pPr>
      <w:r/>
      <w:bookmarkStart w:id="219" w:name="_Toc104560879"/>
      <w:r/>
      <w:bookmarkStart w:id="220" w:name="_Toc107246259"/>
      <w:r/>
      <w:bookmarkStart w:id="221" w:name="_Toc103848564"/>
      <w:r>
        <w:rPr>
          <w:rFonts w:hint="eastAsia" w:ascii="宋体" w:hAnsi="宋体" w:eastAsia="宋体" w:cs="宋体"/>
          <w:color w:val="auto"/>
          <w:sz w:val="21"/>
          <w:szCs w:val="21"/>
          <w:highlight w:val="none"/>
        </w:rPr>
        <w:t xml:space="preserve">31.4评审结束后，中标人名单</w:t>
      </w:r>
      <w:r>
        <w:rPr>
          <w:rFonts w:hint="eastAsia" w:ascii="宋体" w:hAnsi="宋体" w:eastAsia="宋体" w:cs="宋体"/>
          <w:color w:val="auto"/>
          <w:sz w:val="21"/>
          <w:szCs w:val="21"/>
          <w:highlight w:val="none"/>
          <w:lang w:eastAsia="zh-CN"/>
        </w:rPr>
        <w:t xml:space="preserve">将在</w:t>
      </w:r>
      <w:r>
        <w:rPr>
          <w:rFonts w:hint="eastAsia" w:ascii="宋体" w:hAnsi="宋体" w:eastAsia="宋体" w:cs="宋体"/>
          <w:color w:val="auto"/>
          <w:sz w:val="21"/>
          <w:szCs w:val="21"/>
          <w:highlight w:val="none"/>
        </w:rPr>
        <w:t xml:space="preserve">省级以上财政部门指定的媒体上公告中标结果，中标公告期为1个工作日，公告媒体见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公告的同时向中标人发出中标通知书。</w:t>
      </w:r>
      <w:r>
        <w:rPr>
          <w:rFonts w:hint="eastAsia" w:ascii="宋体" w:hAnsi="宋体" w:eastAsia="宋体" w:cs="宋体"/>
          <w:color w:val="auto"/>
          <w:sz w:val="21"/>
          <w:szCs w:val="21"/>
          <w:highlight w:val="none"/>
          <w:lang w:val="zh-CN"/>
        </w:rPr>
        <w:t xml:space="preserve">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firstLine="420"/>
        <w:jc w:val="left"/>
        <w:pageBreakBefore w:val="0"/>
        <w:spacing w:after="4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w:t>
      </w:r>
      <w:bookmarkEnd w:id="219"/>
      <w:r/>
      <w:bookmarkEnd w:id="220"/>
      <w:r/>
      <w:bookmarkEnd w:id="221"/>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32.1采购代理机构将在中标公告发布的同时向中标人发出中标通知书。</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32.2中标通知书将是合同的组成部分。对采购人和中标人均具有法律效力。</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bookmarkStart w:id="222" w:name="_Toc104560875"/>
      <w:r/>
      <w:bookmarkStart w:id="223" w:name="_Toc103848560"/>
      <w:r>
        <w:rPr>
          <w:rFonts w:hint="eastAsia" w:ascii="宋体" w:hAnsi="宋体" w:eastAsia="宋体" w:cs="宋体"/>
          <w:color w:val="auto"/>
          <w:sz w:val="21"/>
          <w:szCs w:val="21"/>
          <w:highlight w:val="none"/>
        </w:rPr>
        <w:t xml:space="preserve">中标通知书发出后，中标人无正当理由不得放弃中标，否则将依法承担法律责任。</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24" w:name="_Toc107246260"/>
      <w:r>
        <w:rPr>
          <w:rFonts w:hint="eastAsia" w:ascii="宋体" w:hAnsi="宋体" w:eastAsia="宋体" w:cs="宋体"/>
          <w:color w:val="auto"/>
          <w:sz w:val="21"/>
          <w:szCs w:val="21"/>
          <w:highlight w:val="none"/>
        </w:rPr>
        <w:t xml:space="preserve">33.废标</w:t>
      </w:r>
      <w:bookmarkEnd w:id="222"/>
      <w:r/>
      <w:bookmarkEnd w:id="223"/>
      <w:r/>
      <w:bookmarkEnd w:id="224"/>
      <w:r/>
      <w:r/>
    </w:p>
    <w:p>
      <w:pPr>
        <w:ind w:firstLine="316"/>
        <w:jc w:val="left"/>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★33.1出现下列情形之一的，应予废标：</w:t>
      </w:r>
      <w:r/>
    </w:p>
    <w:p>
      <w:pPr>
        <w:ind w:firstLine="315"/>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（1）符合专业条件的投标人或者对招标文件作实质响应的投标人不足三家的；</w:t>
      </w:r>
      <w:r/>
    </w:p>
    <w:p>
      <w:pPr>
        <w:ind w:firstLine="315"/>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（2）出现影响采购公正的违法、违规行为的；</w:t>
      </w:r>
      <w:r/>
    </w:p>
    <w:p>
      <w:pPr>
        <w:ind w:firstLine="315"/>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（3）投标人的报价均超过了采购预算，采购人不能支付的；</w:t>
      </w:r>
      <w:r/>
    </w:p>
    <w:p>
      <w:pPr>
        <w:ind w:firstLine="315"/>
        <w:jc w:val="left"/>
        <w:pageBreakBefore w:val="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（4）因重大变故，采购任务取消的。</w:t>
      </w:r>
      <w:r/>
    </w:p>
    <w:p>
      <w:pPr>
        <w:ind w:firstLine="315"/>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33.2废标后，采购人将废标理由通知所有投标人。</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25" w:name="_Toc103848565"/>
      <w:r/>
      <w:bookmarkStart w:id="226" w:name="_Toc107246261"/>
      <w:r/>
      <w:bookmarkStart w:id="227" w:name="_Toc104560880"/>
      <w:r/>
      <w:bookmarkStart w:id="228" w:name="_Toc20823309"/>
      <w:r/>
      <w:bookmarkStart w:id="229" w:name="_Toc16938553"/>
      <w:r/>
      <w:bookmarkStart w:id="230" w:name="_Toc513029237"/>
      <w:r>
        <w:rPr>
          <w:rFonts w:hint="eastAsia" w:ascii="宋体" w:hAnsi="宋体" w:eastAsia="宋体" w:cs="宋体"/>
          <w:color w:val="auto"/>
          <w:sz w:val="21"/>
          <w:szCs w:val="21"/>
          <w:highlight w:val="none"/>
        </w:rPr>
        <w:t xml:space="preserve">34.签订合同</w:t>
      </w:r>
      <w:bookmarkEnd w:id="225"/>
      <w:r/>
      <w:bookmarkEnd w:id="226"/>
      <w:r/>
      <w:bookmarkEnd w:id="227"/>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34.3联合体中标的，联合体各方应当共同与采购人签订合同，就中标项目向采购人承担连带责任。</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31" w:name="_Toc104560881"/>
      <w:r/>
      <w:bookmarkStart w:id="232" w:name="_Toc107246262"/>
      <w:r/>
      <w:bookmarkStart w:id="233" w:name="_Toc103848567"/>
      <w:r>
        <w:rPr>
          <w:rFonts w:hint="eastAsia" w:ascii="宋体" w:hAnsi="宋体" w:eastAsia="宋体" w:cs="宋体"/>
          <w:color w:val="auto"/>
          <w:sz w:val="21"/>
          <w:szCs w:val="21"/>
          <w:highlight w:val="none"/>
        </w:rPr>
        <w:t xml:space="preserve">35.履约保证金</w:t>
      </w:r>
      <w:bookmarkEnd w:id="231"/>
      <w:r/>
      <w:bookmarkEnd w:id="232"/>
      <w:r/>
      <w:bookmarkEnd w:id="233"/>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35.1本项目是否缴纳履约保证金见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35.3中标人没有按照</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的规定提交履约保证金的，视为放弃中标，其投标保证金不予退还。</w:t>
      </w:r>
      <w:bookmarkEnd w:id="228"/>
      <w:r/>
      <w:bookmarkEnd w:id="229"/>
      <w:r/>
      <w:bookmarkEnd w:id="230"/>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34" w:name="_Toc107246263"/>
      <w:r>
        <w:rPr>
          <w:rFonts w:hint="eastAsia" w:ascii="宋体" w:hAnsi="宋体" w:eastAsia="宋体" w:cs="宋体"/>
          <w:color w:val="auto"/>
          <w:sz w:val="21"/>
          <w:szCs w:val="21"/>
          <w:highlight w:val="none"/>
        </w:rPr>
        <w:t xml:space="preserve">七．</w:t>
      </w:r>
      <w:bookmarkStart w:id="235" w:name="_Toc103848569"/>
      <w:r>
        <w:rPr>
          <w:rFonts w:hint="eastAsia" w:ascii="宋体" w:hAnsi="宋体" w:eastAsia="宋体" w:cs="宋体"/>
          <w:color w:val="auto"/>
          <w:sz w:val="21"/>
          <w:szCs w:val="21"/>
          <w:highlight w:val="none"/>
        </w:rPr>
        <w:t xml:space="preserve">询问与质疑</w:t>
      </w:r>
      <w:bookmarkEnd w:id="234"/>
      <w:r/>
      <w:bookmarkEnd w:id="235"/>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36" w:name="_Toc102117305"/>
      <w:r/>
      <w:bookmarkStart w:id="237" w:name="_Toc107246264"/>
      <w:r/>
      <w:bookmarkStart w:id="238" w:name="_Toc104560883"/>
      <w:r>
        <w:rPr>
          <w:rFonts w:hint="eastAsia" w:ascii="宋体" w:hAnsi="宋体" w:eastAsia="宋体" w:cs="宋体"/>
          <w:color w:val="auto"/>
          <w:sz w:val="21"/>
          <w:szCs w:val="21"/>
          <w:highlight w:val="none"/>
        </w:rPr>
        <w:t xml:space="preserve">36.询问</w:t>
      </w:r>
      <w:bookmarkEnd w:id="236"/>
      <w:r/>
      <w:bookmarkEnd w:id="237"/>
      <w:r/>
      <w:bookmarkEnd w:id="238"/>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36.1供应商对政府采购活动事项有疑问的，可依法提出询问，并按</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载明的形式通知采购方。</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36.2采购方对供应商依法提出的询问，在3个工作日内作出答复，但答复的内容不得涉及商业秘密。</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39" w:name="_Toc102117306"/>
      <w:r/>
      <w:bookmarkStart w:id="240" w:name="_Toc107246265"/>
      <w:r/>
      <w:bookmarkStart w:id="241" w:name="_Toc104560884"/>
      <w:r>
        <w:rPr>
          <w:rFonts w:hint="eastAsia" w:ascii="宋体" w:hAnsi="宋体" w:eastAsia="宋体" w:cs="宋体"/>
          <w:color w:val="auto"/>
          <w:sz w:val="21"/>
          <w:szCs w:val="21"/>
          <w:highlight w:val="none"/>
        </w:rPr>
        <w:t xml:space="preserve">37.质疑</w:t>
      </w:r>
      <w:bookmarkEnd w:id="239"/>
      <w:r/>
      <w:bookmarkEnd w:id="240"/>
      <w:r/>
      <w:bookmarkEnd w:id="241"/>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37.2以联合体形式参加投标的，应当由组成联合体的所有供应商共同提出。</w:t>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37.3质疑函应使用财政部制定的范本文件。</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42" w:name="_Toc107246266"/>
      <w:r>
        <w:rPr>
          <w:rFonts w:hint="eastAsia" w:ascii="宋体" w:hAnsi="宋体" w:eastAsia="宋体" w:cs="宋体"/>
          <w:color w:val="auto"/>
          <w:sz w:val="21"/>
          <w:szCs w:val="21"/>
          <w:highlight w:val="none"/>
        </w:rPr>
        <w:t xml:space="preserve">八．其他</w:t>
      </w:r>
      <w:bookmarkEnd w:id="242"/>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43" w:name="_Toc103848572"/>
      <w:r/>
      <w:bookmarkStart w:id="244" w:name="_Toc104560886"/>
      <w:r/>
      <w:bookmarkStart w:id="245" w:name="_Toc107246267"/>
      <w:r>
        <w:rPr>
          <w:rFonts w:hint="eastAsia" w:ascii="宋体" w:hAnsi="宋体" w:eastAsia="宋体" w:cs="宋体"/>
          <w:color w:val="auto"/>
          <w:sz w:val="21"/>
          <w:szCs w:val="21"/>
          <w:highlight w:val="none"/>
        </w:rPr>
        <w:t xml:space="preserve">38.招标代理服务费</w:t>
      </w:r>
      <w:bookmarkEnd w:id="243"/>
      <w:r/>
      <w:bookmarkEnd w:id="244"/>
      <w:r/>
      <w:bookmarkEnd w:id="245"/>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38.1中标人是否交纳投招标代理服务费及相关要求见</w:t>
      </w:r>
      <w:r>
        <w:rPr>
          <w:rFonts w:hint="eastAsia" w:ascii="宋体" w:hAnsi="宋体" w:eastAsia="宋体" w:cs="宋体"/>
          <w:b/>
          <w:color w:val="auto"/>
          <w:sz w:val="21"/>
          <w:szCs w:val="21"/>
          <w:highlight w:val="none"/>
        </w:rPr>
        <w:t xml:space="preserve">投标人须知前附表</w:t>
      </w:r>
      <w:r>
        <w:rPr>
          <w:rFonts w:hint="eastAsia" w:ascii="宋体" w:hAnsi="宋体" w:eastAsia="宋体" w:cs="宋体"/>
          <w:color w:val="auto"/>
          <w:sz w:val="21"/>
          <w:szCs w:val="21"/>
          <w:highlight w:val="none"/>
        </w:rPr>
        <w:t xml:space="preserve">。</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46" w:name="_Toc103848573"/>
      <w:r/>
      <w:bookmarkStart w:id="247" w:name="_Toc104560887"/>
      <w:r/>
      <w:bookmarkStart w:id="248" w:name="_Toc107246268"/>
      <w:r>
        <w:rPr>
          <w:rFonts w:hint="eastAsia" w:ascii="宋体" w:hAnsi="宋体" w:eastAsia="宋体" w:cs="宋体"/>
          <w:color w:val="auto"/>
          <w:sz w:val="21"/>
          <w:szCs w:val="21"/>
          <w:highlight w:val="none"/>
        </w:rPr>
        <w:t xml:space="preserve">39.其他规定</w:t>
      </w:r>
      <w:bookmarkEnd w:id="246"/>
      <w:r/>
      <w:bookmarkEnd w:id="247"/>
      <w:r/>
      <w:bookmarkEnd w:id="248"/>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39.1投标文件的其他规定见</w:t>
      </w:r>
      <w:r>
        <w:rPr>
          <w:rFonts w:hint="eastAsia" w:ascii="宋体" w:hAnsi="宋体" w:eastAsia="宋体" w:cs="宋体"/>
          <w:b/>
          <w:color w:val="auto"/>
          <w:sz w:val="21"/>
          <w:szCs w:val="21"/>
          <w:highlight w:val="none"/>
        </w:rPr>
        <w:t xml:space="preserve">投标人须知前附</w:t>
      </w:r>
      <w:r>
        <w:rPr>
          <w:rFonts w:hint="eastAsia" w:ascii="宋体" w:hAnsi="宋体" w:eastAsia="宋体" w:cs="宋体"/>
          <w:color w:val="auto"/>
          <w:sz w:val="21"/>
          <w:szCs w:val="21"/>
          <w:highlight w:val="none"/>
        </w:rPr>
        <w:t xml:space="preserve">表。</w:t>
      </w:r>
      <w:r/>
    </w:p>
    <w:p>
      <w:pPr>
        <w:pStyle w:val="697"/>
        <w:ind w:left="0" w:right="210" w:firstLine="373"/>
        <w:pageBreakBefore w:val="0"/>
        <w:spacing w:line="440" w:lineRule="exact"/>
        <w:rPr>
          <w:rFonts w:hint="eastAsia" w:ascii="宋体" w:hAnsi="宋体" w:eastAsia="宋体" w:cs="宋体"/>
          <w:color w:val="auto"/>
          <w:sz w:val="21"/>
          <w:szCs w:val="21"/>
          <w:highlight w:val="none"/>
        </w:rPr>
      </w:pPr>
      <w:r/>
      <w:bookmarkStart w:id="249" w:name="_Toc107246269"/>
      <w:r/>
      <w:bookmarkStart w:id="250" w:name="_Toc104560888"/>
      <w:r/>
      <w:bookmarkStart w:id="251" w:name="_Toc103848574"/>
      <w:r>
        <w:rPr>
          <w:rFonts w:hint="eastAsia" w:ascii="宋体" w:hAnsi="宋体" w:eastAsia="宋体" w:cs="宋体"/>
          <w:color w:val="auto"/>
          <w:sz w:val="21"/>
          <w:szCs w:val="21"/>
          <w:highlight w:val="none"/>
        </w:rPr>
        <w:t xml:space="preserve">40.文件解释权</w:t>
      </w:r>
      <w:bookmarkEnd w:id="249"/>
      <w:r/>
      <w:bookmarkEnd w:id="250"/>
      <w:r/>
      <w:bookmarkEnd w:id="251"/>
      <w:r/>
      <w:r/>
    </w:p>
    <w:p>
      <w:pPr>
        <w:ind w:firstLine="420"/>
        <w:jc w:val="left"/>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40.1本招标文件的解释权归采购人（或采购代理机构）所有。</w:t>
      </w:r>
      <w:bookmarkEnd w:id="178"/>
      <w:r/>
      <w:r/>
    </w:p>
    <w:p>
      <w:pPr>
        <w:pStyle w:val="738"/>
        <w:numPr>
          <w:ilvl w:val="0"/>
          <w:numId w:val="1"/>
        </w:numPr>
        <w:ind w:firstLine="567"/>
        <w:rPr>
          <w:rFonts w:ascii="Arial" w:hAnsi="Arial" w:cs="Arial"/>
          <w:color w:val="auto"/>
          <w:highlight w:val="none"/>
        </w:rPr>
      </w:pPr>
      <w:r/>
      <w:bookmarkStart w:id="252" w:name="_Toc91836563"/>
      <w:r>
        <w:rPr>
          <w:rFonts w:ascii="Arial" w:hAnsi="Arial" w:cs="Arial"/>
          <w:color w:val="auto"/>
          <w:highlight w:val="none"/>
        </w:rPr>
        <w:br w:type="page" w:clear="all"/>
      </w:r>
      <w:bookmarkStart w:id="253" w:name="_Toc107246270"/>
      <w:r>
        <w:rPr>
          <w:rFonts w:ascii="Arial" w:hAnsi="Arial" w:cs="Arial"/>
          <w:color w:val="auto"/>
          <w:highlight w:val="none"/>
        </w:rPr>
        <w:t xml:space="preserve">政府采购合同条款</w:t>
      </w:r>
      <w:bookmarkEnd w:id="252"/>
      <w:r>
        <w:rPr>
          <w:rFonts w:ascii="Arial" w:hAnsi="Arial" w:cs="Arial"/>
          <w:color w:val="auto"/>
          <w:highlight w:val="none"/>
        </w:rPr>
        <w:t xml:space="preserve">及格式</w:t>
      </w:r>
      <w:bookmarkEnd w:id="253"/>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如有“不满足”、“优于”或“部分满足（偏离）”，请填写在商务条款偏离表（格式见第六章）。如投标人提交的“商务条款偏离表”未填写实质性内容，则视为已接受此章的所有要求。</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甲方：（买方）_________</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乙方：（卖方）_________</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甲、乙双方根据</w:t>
      </w:r>
      <w:r>
        <w:rPr>
          <w:rFonts w:hint="eastAsia" w:ascii="宋体" w:hAnsi="宋体" w:cs="宋体"/>
          <w:color w:val="auto"/>
          <w:spacing w:val="8"/>
          <w:sz w:val="24"/>
          <w:szCs w:val="24"/>
          <w:highlight w:val="none"/>
          <w:lang w:val="en-US" w:eastAsia="zh-CN" w:bidi="ar-SA"/>
        </w:rPr>
        <w:t xml:space="preserve">南京市鼓楼区电子政务外网升级改造项目</w:t>
      </w:r>
      <w:r>
        <w:rPr>
          <w:rFonts w:hint="eastAsia" w:ascii="宋体" w:hAnsi="宋体" w:eastAsia="宋体" w:cs="宋体"/>
          <w:color w:val="auto"/>
          <w:sz w:val="24"/>
          <w:szCs w:val="24"/>
          <w:highlight w:val="none"/>
          <w:lang w:val="en-US" w:eastAsia="zh-CN" w:bidi="ar-SA"/>
        </w:rPr>
        <w:t xml:space="preserve">招标的结果，签署本合同。</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一、合同内容</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标的名称：南京市鼓楼区电子政务外网升级改造项目</w:t>
      </w:r>
      <w:r/>
    </w:p>
    <w:p>
      <w:pPr>
        <w:ind w:firstLine="560"/>
        <w:jc w:val="left"/>
        <w:spacing w:line="560" w:lineRule="exact"/>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1.2 履行时间（期限）：</w:t>
      </w:r>
      <w:r>
        <w:rPr>
          <w:rFonts w:ascii="宋体" w:hAnsi="宋体" w:eastAsia="宋体" w:cs="宋体"/>
          <w:color w:val="auto"/>
          <w:spacing w:val="-2"/>
          <w:sz w:val="24"/>
          <w:szCs w:val="24"/>
          <w:highlight w:val="none"/>
        </w:rPr>
        <w:t xml:space="preserve">按招标文件及投标文件执行。</w:t>
      </w:r>
      <w:r/>
    </w:p>
    <w:p>
      <w:pPr>
        <w:ind w:firstLine="560"/>
        <w:jc w:val="left"/>
        <w:spacing w:line="560" w:lineRule="exact"/>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1.3 履行地点：</w:t>
      </w:r>
      <w:r>
        <w:rPr>
          <w:rFonts w:ascii="宋体" w:hAnsi="宋体" w:eastAsia="宋体" w:cs="宋体"/>
          <w:color w:val="auto"/>
          <w:spacing w:val="-2"/>
          <w:sz w:val="24"/>
          <w:szCs w:val="24"/>
          <w:highlight w:val="none"/>
        </w:rPr>
        <w:t xml:space="preserve">按招标文件及投标文件执行。</w:t>
      </w:r>
      <w:r/>
    </w:p>
    <w:p>
      <w:pPr>
        <w:ind w:firstLine="560"/>
        <w:jc w:val="left"/>
        <w:spacing w:line="559" w:lineRule="exact"/>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1.4 履行方式：</w:t>
      </w:r>
      <w:r>
        <w:rPr>
          <w:rFonts w:ascii="宋体" w:hAnsi="宋体" w:eastAsia="宋体" w:cs="宋体"/>
          <w:color w:val="auto"/>
          <w:spacing w:val="-2"/>
          <w:sz w:val="24"/>
          <w:szCs w:val="24"/>
          <w:highlight w:val="none"/>
        </w:rPr>
        <w:t xml:space="preserve">按招标文件及投标文件执行。</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二、合同金额</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本合同金额为（大写）：___________________________元整（_______________元）人民币。</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三、技术资料</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3.1乙方应按招标文件规定的时间向甲方提供服务（包含与服务相关的货物）的有关技术资料。</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四、知识产权</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jc w:val="left"/>
        <w:spacing w:line="560" w:lineRule="exact"/>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bidi="ar-SA"/>
        </w:rPr>
        <w:t xml:space="preserve">产权担保</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w:t>
      </w:r>
      <w:r>
        <w:rPr>
          <w:rFonts w:ascii="宋体" w:hAnsi="宋体" w:eastAsia="宋体" w:cs="宋体"/>
          <w:color w:val="auto"/>
          <w:spacing w:val="-2"/>
          <w:sz w:val="24"/>
          <w:szCs w:val="24"/>
          <w:highlight w:val="none"/>
        </w:rPr>
        <w:t xml:space="preserve">本项目租赁服务期为</w:t>
      </w:r>
      <w:r>
        <w:rPr>
          <w:rFonts w:hint="eastAsia" w:ascii="宋体" w:hAnsi="宋体" w:eastAsia="宋体" w:cs="宋体"/>
          <w:color w:val="auto"/>
          <w:spacing w:val="-2"/>
          <w:sz w:val="24"/>
          <w:szCs w:val="24"/>
          <w:highlight w:val="none"/>
          <w:lang w:val="en-US" w:eastAsia="zh-CN"/>
        </w:rPr>
        <w:t xml:space="preserve">三</w:t>
      </w:r>
      <w:r>
        <w:rPr>
          <w:rFonts w:ascii="宋体" w:hAnsi="宋体" w:eastAsia="宋体" w:cs="宋体"/>
          <w:color w:val="auto"/>
          <w:spacing w:val="-2"/>
          <w:sz w:val="24"/>
          <w:szCs w:val="24"/>
          <w:highlight w:val="none"/>
        </w:rPr>
        <w:t xml:space="preserve">年，租赁服务</w:t>
      </w:r>
      <w:r>
        <w:rPr>
          <w:rFonts w:ascii="宋体" w:hAnsi="宋体" w:eastAsia="宋体" w:cs="宋体"/>
          <w:color w:val="auto"/>
          <w:spacing w:val="-3"/>
          <w:sz w:val="24"/>
          <w:szCs w:val="24"/>
          <w:highlight w:val="none"/>
        </w:rPr>
        <w:t xml:space="preserve">期内本项目的</w:t>
      </w:r>
      <w:r>
        <w:rPr>
          <w:rFonts w:hint="eastAsia" w:ascii="宋体" w:hAnsi="宋体" w:eastAsia="宋体" w:cs="宋体"/>
          <w:color w:val="auto"/>
          <w:spacing w:val="-3"/>
          <w:sz w:val="24"/>
          <w:szCs w:val="24"/>
          <w:highlight w:val="none"/>
          <w:lang w:val="en-US" w:eastAsia="zh-CN"/>
        </w:rPr>
        <w:t xml:space="preserve">网络设备</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光模块及线材等所有设备</w:t>
      </w:r>
      <w:r>
        <w:rPr>
          <w:rFonts w:ascii="宋体" w:hAnsi="宋体" w:eastAsia="宋体" w:cs="宋体"/>
          <w:color w:val="auto"/>
          <w:spacing w:val="-3"/>
          <w:sz w:val="24"/>
          <w:szCs w:val="24"/>
          <w:highlight w:val="none"/>
        </w:rPr>
        <w:t xml:space="preserve">的产权为乙方所有，</w:t>
      </w:r>
      <w:r>
        <w:rPr>
          <w:rFonts w:hint="eastAsia" w:ascii="宋体" w:hAnsi="宋体" w:eastAsia="宋体" w:cs="宋体"/>
          <w:color w:val="auto"/>
          <w:spacing w:val="-3"/>
          <w:sz w:val="24"/>
          <w:szCs w:val="24"/>
          <w:highlight w:val="none"/>
          <w:lang w:val="en-US" w:eastAsia="zh-CN"/>
        </w:rPr>
        <w:t xml:space="preserve">三</w:t>
      </w:r>
      <w:r>
        <w:rPr>
          <w:rFonts w:ascii="宋体" w:hAnsi="宋体" w:eastAsia="宋体" w:cs="宋体"/>
          <w:color w:val="auto"/>
          <w:spacing w:val="-3"/>
          <w:sz w:val="24"/>
          <w:szCs w:val="24"/>
          <w:highlight w:val="none"/>
        </w:rPr>
        <w:t xml:space="preserve">年租赁</w:t>
      </w:r>
      <w:r>
        <w:rPr>
          <w:rFonts w:hint="eastAsia" w:ascii="宋体" w:hAnsi="宋体" w:eastAsia="宋体" w:cs="宋体"/>
          <w:color w:val="auto"/>
          <w:spacing w:val="-3"/>
          <w:sz w:val="24"/>
          <w:szCs w:val="24"/>
          <w:highlight w:val="none"/>
          <w:lang w:val="en-US" w:eastAsia="zh-CN"/>
        </w:rPr>
        <w:t xml:space="preserve">服务</w:t>
      </w:r>
      <w:r>
        <w:rPr>
          <w:rFonts w:ascii="宋体" w:hAnsi="宋体" w:eastAsia="宋体" w:cs="宋体"/>
          <w:color w:val="auto"/>
          <w:spacing w:val="-3"/>
          <w:sz w:val="24"/>
          <w:szCs w:val="24"/>
          <w:highlight w:val="none"/>
        </w:rPr>
        <w:t xml:space="preserve">期满后本项目的</w:t>
      </w:r>
      <w:r>
        <w:rPr>
          <w:rFonts w:hint="eastAsia" w:ascii="宋体" w:hAnsi="宋体" w:cs="宋体"/>
          <w:color w:val="auto"/>
          <w:spacing w:val="-3"/>
          <w:sz w:val="24"/>
          <w:szCs w:val="24"/>
          <w:highlight w:val="none"/>
          <w:lang w:val="en-US" w:eastAsia="zh-CN"/>
        </w:rPr>
        <w:t xml:space="preserve">网络设备</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光模块及线材等</w:t>
      </w:r>
      <w:r>
        <w:rPr>
          <w:rFonts w:hint="eastAsia" w:ascii="宋体" w:hAnsi="宋体" w:cs="宋体"/>
          <w:color w:val="auto"/>
          <w:spacing w:val="-3"/>
          <w:sz w:val="24"/>
          <w:szCs w:val="24"/>
          <w:highlight w:val="none"/>
          <w:lang w:val="en-US" w:eastAsia="zh-CN"/>
        </w:rPr>
        <w:t xml:space="preserve">所有</w:t>
      </w:r>
      <w:r>
        <w:rPr>
          <w:rFonts w:hint="eastAsia" w:ascii="宋体" w:hAnsi="宋体" w:eastAsia="宋体" w:cs="宋体"/>
          <w:color w:val="auto"/>
          <w:spacing w:val="-3"/>
          <w:sz w:val="24"/>
          <w:szCs w:val="24"/>
          <w:highlight w:val="none"/>
          <w:lang w:val="en-US" w:eastAsia="zh-CN"/>
        </w:rPr>
        <w:t xml:space="preserve">设备</w:t>
      </w:r>
      <w:r>
        <w:rPr>
          <w:rFonts w:ascii="宋体" w:hAnsi="宋体" w:eastAsia="宋体" w:cs="宋体"/>
          <w:color w:val="auto"/>
          <w:spacing w:val="-3"/>
          <w:sz w:val="24"/>
          <w:szCs w:val="24"/>
          <w:highlight w:val="none"/>
        </w:rPr>
        <w:t xml:space="preserve">的产权归</w:t>
      </w:r>
      <w:r>
        <w:rPr>
          <w:rFonts w:ascii="宋体" w:hAnsi="宋体" w:eastAsia="宋体" w:cs="宋体"/>
          <w:color w:val="auto"/>
          <w:spacing w:val="-6"/>
          <w:sz w:val="24"/>
          <w:szCs w:val="24"/>
          <w:highlight w:val="none"/>
        </w:rPr>
        <w:t xml:space="preserve">甲方所有。</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w:t>
      </w:r>
      <w:r>
        <w:rPr>
          <w:rFonts w:ascii="宋体" w:hAnsi="宋体" w:eastAsia="宋体" w:cs="宋体"/>
          <w:color w:val="auto"/>
          <w:spacing w:val="-6"/>
          <w:sz w:val="24"/>
          <w:szCs w:val="24"/>
          <w:highlight w:val="none"/>
        </w:rPr>
        <w:t xml:space="preserve">乙方保证所交付的服务（包含与服务相关的货物等）的所有权完全属于乙方且无任何抵押、</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查封等产权瑕疵。</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六、履约保证金</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w:t>
      </w:r>
      <w:r>
        <w:rPr>
          <w:rFonts w:hint="eastAsia" w:ascii="宋体" w:hAnsi="宋体" w:eastAsia="宋体" w:cs="宋体"/>
          <w:color w:val="auto"/>
          <w:sz w:val="24"/>
          <w:szCs w:val="24"/>
          <w:highlight w:val="none"/>
          <w:u w:val="single"/>
          <w:lang w:val="en-US" w:eastAsia="zh-CN" w:bidi="ar-SA"/>
        </w:rPr>
        <w:t xml:space="preserve">不收取</w:t>
      </w:r>
      <w:r>
        <w:rPr>
          <w:rFonts w:hint="eastAsia" w:ascii="宋体" w:hAnsi="宋体" w:eastAsia="宋体" w:cs="宋体"/>
          <w:color w:val="auto"/>
          <w:sz w:val="24"/>
          <w:szCs w:val="24"/>
          <w:highlight w:val="none"/>
          <w:lang w:val="en-US" w:eastAsia="zh-CN" w:bidi="ar-SA"/>
        </w:rPr>
        <w:t xml:space="preserve">履约保证金。</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七、合同转包或分包</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7.1 乙方不得将合同标的转包给他人履行。</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7.2 乙方不得将合同标的分包给他人履行。</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7.3 乙方如有转包或未经甲方同意的分包行为，甲方有权解除合同。</w:t>
      </w:r>
      <w:r/>
    </w:p>
    <w:p>
      <w:pPr>
        <w:ind w:firstLine="560"/>
        <w:jc w:val="left"/>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八、合同款项支付</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8.1 预付款支付：本合同经双方签字盖章生效后内，招标人应向供应商支付合同总价的 10%（即人民币【大写金额】元，小写：¥【金额】）作为预付款。</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8.2 验收后进度款支付：供应商完成本合同约定的全部服务项目，经招标人组织验收合格后，招标人应向供应商支付合同总价的 15%（即人民币【大写金额】元，小写：¥【金额】）。</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8.3 年度考核付款：自服务项目验收合格之日起计算，每满一年为一个考核周期。招标人应在每个考核周期届满后，依据附件《违约情况处罚标准》及供应商实际履约情况（含违约情形）进行考核。</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8.3.1 若考核合格，招标人应向供应商支付合同总价的 25%（即人民币【大写金额】元，小写：¥【金额】）；</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8.3.2 若考核结果涉及费用扣减，扣减金额按《违约情况处罚标准》明确的规则计算，招标人有权从当期应付金额中直接抵扣，抵扣后剩余款项按本条约定时限支付；</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8.4 供应商应在招标人支付当期款项前，向招标人开具对应金额（扣除扣减费用后的金额）的合法有效发票，否则甲方可顺延支付。</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九、税费</w:t>
      </w:r>
      <w:r/>
    </w:p>
    <w:p>
      <w:pPr>
        <w:ind w:firstLine="560"/>
        <w:jc w:val="left"/>
        <w:spacing w:line="560" w:lineRule="exac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9.1 本合同执行中相关的一切税费均由乙方负担。</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十、项目验收</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 甲方依法组织履约验收工作。</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10.3 对于实际使用人和甲方分离的项目，甲方邀请实际使用人参与验收。</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 如有必要，甲方邀请参加本项目的其他供应商或第三方专业机构及专家参与验收，相关意见将作为验收书的参考资料。</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 甲方成立验收小组，按照采购合同的约定对乙方的履约情况进行验收。验收时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甲方按照采购合同的约定对每一项技术、服务、安全标准的履约情况进行确认。</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10.6 验收合格的项目</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甲方将及时报告本级财政部门。</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十一、违约责任</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甲方无正当理由拒绝验收或拒付合同款项的，应向乙方偿付合同总价10％的违约金。</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2、甲方逾期支付合同款项的，每逾期 1天应向乙方偿付欠款总额0.5％的滞纳金，但滞纳金总额累计不得超过欠款总额的5％；一旦滞纳金总额累计达到欠款总额的5％，乙方有权解除合同。区财政因素除外。</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乙方无法完成项目的，应向甲方支付合同总价10％的违约金，同时甲方有权解除合同，如造成甲方损失超过违约金的，超出部分由乙方继续承担赔偿责任。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乙方完成的项目不符合要求的，应按照甲方选择的下列一种或多种方式承担赔偿责任：</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(2)在甲方规定时间内，修正有缺陷的部分以达到合同规定的要求并承担一切费用和风险，同时承担甲方因此所遭受的全部损失；</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(3)按合同规定同种货币退还甲方已付款项，同时承担由此发生的一切损失和费用，包括但不限于利息、银行手续费及所需的其他必要费用。</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11.5乙方未按规定和承诺提供伴随服务、售后服务的，应向甲方支付合同总价5％的违约金。</w:t>
      </w:r>
      <w:r>
        <w:rPr>
          <w:rFonts w:hint="eastAsia" w:ascii="宋体" w:hAnsi="宋体" w:cs="宋体"/>
          <w:color w:val="auto"/>
          <w:sz w:val="24"/>
          <w:szCs w:val="24"/>
          <w:highlight w:val="none"/>
          <w:lang w:val="en-US" w:eastAsia="zh-CN" w:bidi="ar-SA"/>
        </w:rPr>
        <w:t xml:space="preserve">除违约金外，</w:t>
      </w:r>
      <w:r>
        <w:rPr>
          <w:rFonts w:hint="eastAsia" w:ascii="宋体" w:hAnsi="宋体" w:eastAsia="宋体" w:cs="宋体"/>
          <w:color w:val="auto"/>
          <w:sz w:val="24"/>
          <w:szCs w:val="24"/>
          <w:highlight w:val="none"/>
          <w:lang w:val="en-US" w:eastAsia="zh-CN" w:bidi="ar-SA"/>
        </w:rPr>
        <w:t xml:space="preserve">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11.6违约方承担违约责任并不影响其合同项下的义务(合同解除的除外)。</w:t>
      </w:r>
      <w:r/>
    </w:p>
    <w:p>
      <w:pPr>
        <w:ind w:firstLine="560"/>
        <w:jc w:val="left"/>
        <w:spacing w:line="560" w:lineRule="exact"/>
        <w:rPr>
          <w:rFonts w:hint="eastAsia" w:ascii="宋体" w:hAnsi="宋体" w:eastAsia="宋体" w:cs="宋体"/>
          <w:color w:val="auto"/>
          <w:spacing w:val="-1"/>
          <w:sz w:val="24"/>
          <w:szCs w:val="24"/>
          <w:highlight w:val="none"/>
          <w:lang w:eastAsia="zh-CN"/>
        </w:rPr>
      </w:pPr>
      <w:r>
        <w:rPr>
          <w:rFonts w:ascii="宋体" w:hAnsi="宋体" w:eastAsia="宋体" w:cs="宋体"/>
          <w:color w:val="auto"/>
          <w:spacing w:val="-1"/>
          <w:sz w:val="24"/>
          <w:szCs w:val="24"/>
          <w:highlight w:val="none"/>
        </w:rPr>
        <w:t xml:space="preserve">11.7乙方在项目施工及质保过程中须遵守相关的国家法律法规，在项目施工及质保过程中发生的任何安全责任事故由乙方自行承担，甲方不负任何责任</w:t>
      </w:r>
      <w:r>
        <w:rPr>
          <w:rFonts w:hint="eastAsia" w:ascii="宋体" w:hAnsi="宋体" w:eastAsia="宋体" w:cs="宋体"/>
          <w:color w:val="auto"/>
          <w:spacing w:val="-1"/>
          <w:sz w:val="24"/>
          <w:szCs w:val="24"/>
          <w:highlight w:val="none"/>
          <w:lang w:eastAsia="zh-CN"/>
        </w:rPr>
        <w:t xml:space="preserve">。</w:t>
      </w:r>
      <w:r/>
    </w:p>
    <w:p>
      <w:pPr>
        <w:ind w:firstLine="560"/>
        <w:jc w:val="left"/>
        <w:spacing w:line="560" w:lineRule="exact"/>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11.8 乙方必须与甲方签订保密协议，对所服务涉及的相关资料文件严格保密，不外传。</w:t>
      </w:r>
      <w:r/>
    </w:p>
    <w:p>
      <w:pPr>
        <w:ind w:firstLine="560"/>
        <w:jc w:val="left"/>
        <w:spacing w:line="560" w:lineRule="exact"/>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11.9 本合同履行期满，乙方向甲方移交网络设备、光模块及线材等所有设备的产权时，各项设备均能保证硬件完整及功能正常。</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十二、不可抗力事件处理</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在合同有效期内，任何一方因不可抗力事件导致不能履行合同，则合同履行期可延长，其延长期与不可抗力影响期相同。</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不可抗力事件发生后，应立即通知对方，并寄送有关权威机构出具的证明。</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不可抗力事件延续120天以上，双方应通过友好协商，确定是否继续履行合同。</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十三、解决争议的方法</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13.1双方在签订、履行合同中所发生的一切争议，应通过友好协商解决。如协商不成，向甲方所在地有管辖权的人民法院提起诉讼。</w:t>
      </w:r>
      <w:r/>
    </w:p>
    <w:p>
      <w:pPr>
        <w:ind w:firstLine="560"/>
        <w:jc w:val="left"/>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十四、合同生效及其他</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合同经双方法定代表人或授权委托代表人签字并加盖单位公章后生效。</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本合同未尽事宜，遵照《中华人民共和国民法典》《中华人民共和国政府采购法》有关条文执行。</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本合同正本一式陆份，具有同等法律效力，甲方两份、乙方两份、代理机构两份。</w:t>
      </w:r>
      <w:r/>
    </w:p>
    <w:p>
      <w:pPr>
        <w:ind w:firstLine="560"/>
        <w:jc w:val="left"/>
        <w:spacing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bl>
      <w:tblPr>
        <w:tblStyle w:val="707"/>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甲方（采购人）：（盖章）</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乙方（投标人）：（盖章）</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法定（授权）代表人：                </w:t>
            </w:r>
            <w:r/>
          </w:p>
        </w:tc>
      </w:tr>
      <w:tr>
        <w:trPr>
          <w:jc w:val="center"/>
        </w:trPr>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年　　　月　　　日</w:t>
            </w:r>
            <w:r/>
          </w:p>
        </w:tc>
        <w:tc>
          <w:tcPr>
            <w:tcBorders>
              <w:top w:val="none" w:color="000000" w:sz="4" w:space="0"/>
              <w:left w:val="none" w:color="000000" w:sz="4" w:space="0"/>
              <w:bottom w:val="none" w:color="000000" w:sz="4" w:space="0"/>
              <w:right w:val="none" w:color="000000" w:sz="4" w:space="0"/>
            </w:tcBorders>
            <w:tcW w:w="284" w:type="dxa"/>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536" w:type="dxa"/>
            <w:textDirection w:val="lrTb"/>
            <w:noWrap w:val="false"/>
          </w:tcPr>
          <w:p>
            <w:pPr>
              <w:ind w:left="0" w:right="0" w:firstLine="560"/>
              <w:jc w:val="left"/>
              <w:keepLines w:val="0"/>
              <w:keepNext w:val="0"/>
              <w:spacing w:before="0" w:beforeAutospacing="0" w:after="0" w:afterAutospacing="0"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年　　　月　　　日</w:t>
            </w:r>
            <w:r/>
          </w:p>
        </w:tc>
      </w:tr>
    </w:tbl>
    <w:p>
      <w:pPr>
        <w:ind w:firstLine="480"/>
        <w:jc w:val="left"/>
        <w:spacing w:line="360" w:lineRule="auto"/>
        <w:rPr>
          <w:rFonts w:ascii="Arial" w:hAnsi="Arial" w:cs="Arial"/>
          <w:color w:val="auto"/>
          <w:sz w:val="24"/>
          <w:szCs w:val="24"/>
          <w:highlight w:val="none"/>
        </w:rPr>
      </w:pPr>
      <w:r>
        <w:rPr>
          <w:rFonts w:ascii="Arial" w:hAnsi="Arial" w:cs="Arial"/>
          <w:color w:val="auto"/>
          <w:sz w:val="24"/>
          <w:szCs w:val="24"/>
          <w:highlight w:val="none"/>
        </w:rPr>
      </w:r>
      <w:r/>
    </w:p>
    <w:p>
      <w:pPr>
        <w:jc w:val="left"/>
        <w:widowControl/>
        <w:rPr>
          <w:rFonts w:ascii="Arial" w:hAnsi="Arial" w:cs="Arial"/>
          <w:color w:val="auto"/>
          <w:sz w:val="24"/>
          <w:szCs w:val="24"/>
          <w:highlight w:val="none"/>
        </w:rPr>
      </w:pPr>
      <w:r>
        <w:rPr>
          <w:rFonts w:ascii="Arial" w:hAnsi="Arial" w:cs="Arial"/>
          <w:color w:val="auto"/>
          <w:sz w:val="24"/>
          <w:szCs w:val="24"/>
          <w:highlight w:val="none"/>
        </w:rPr>
        <w:br w:type="page" w:clear="all"/>
      </w:r>
      <w:r/>
    </w:p>
    <w:p>
      <w:pPr>
        <w:pStyle w:val="738"/>
        <w:ind w:firstLine="569"/>
        <w:rPr>
          <w:rFonts w:ascii="Arial" w:hAnsi="Arial" w:cs="Arial"/>
          <w:color w:val="auto"/>
          <w:sz w:val="24"/>
          <w:highlight w:val="none"/>
        </w:rPr>
      </w:pPr>
      <w:r/>
      <w:bookmarkStart w:id="254" w:name="_Toc91836564"/>
      <w:r/>
      <w:bookmarkStart w:id="255" w:name="_Toc107246271"/>
      <w:r>
        <w:rPr>
          <w:rFonts w:ascii="Arial" w:hAnsi="Arial" w:cs="Arial"/>
          <w:color w:val="auto"/>
          <w:highlight w:val="none"/>
        </w:rPr>
        <w:t xml:space="preserve">第四章 采购需求</w:t>
      </w:r>
      <w:bookmarkEnd w:id="254"/>
      <w:r/>
      <w:bookmarkEnd w:id="255"/>
      <w:r/>
      <w:r/>
    </w:p>
    <w:p>
      <w:pPr>
        <w:ind w:firstLine="482"/>
        <w:jc w:val="left"/>
        <w:spacing w:line="360" w:lineRule="auto"/>
        <w:widowControl/>
        <w:rPr>
          <w:rFonts w:ascii="Arial" w:hAnsi="Arial" w:cs="Arial"/>
          <w:b/>
          <w:bCs/>
          <w:color w:val="auto"/>
          <w:sz w:val="24"/>
          <w:highlight w:val="none"/>
          <w:lang w:val="zh-CN"/>
        </w:rPr>
      </w:pPr>
      <w:r/>
      <w:bookmarkStart w:id="256" w:name="_Hlk93775766"/>
      <w:r>
        <w:rPr>
          <w:rFonts w:ascii="Arial" w:hAnsi="Arial" w:cs="Arial"/>
          <w:b/>
          <w:bCs/>
          <w:color w:val="auto"/>
          <w:sz w:val="24"/>
          <w:highlight w:val="none"/>
          <w:lang w:val="zh-CN"/>
        </w:rPr>
        <w:t xml:space="preserve">一、项目名称</w:t>
      </w:r>
      <w:r/>
    </w:p>
    <w:p>
      <w:pPr>
        <w:ind w:firstLine="480"/>
        <w:jc w:val="left"/>
        <w:spacing w:line="360" w:lineRule="auto"/>
        <w:widowControl/>
        <w:rPr>
          <w:rFonts w:hint="eastAsia" w:ascii="Arial" w:hAnsi="Arial" w:eastAsia="宋体" w:cs="Arial"/>
          <w:bCs/>
          <w:color w:val="auto"/>
          <w:sz w:val="24"/>
          <w:highlight w:val="none"/>
          <w:lang w:eastAsia="zh-CN"/>
        </w:rPr>
      </w:pPr>
      <w:r>
        <w:rPr>
          <w:rFonts w:hint="eastAsia" w:ascii="Arial" w:hAnsi="Arial" w:cs="Arial"/>
          <w:bCs/>
          <w:color w:val="auto"/>
          <w:sz w:val="24"/>
          <w:highlight w:val="none"/>
          <w:lang w:eastAsia="zh-CN"/>
        </w:rPr>
        <w:t xml:space="preserve">南京市鼓楼区电子政务外网升级改造项目</w:t>
      </w:r>
      <w:r/>
    </w:p>
    <w:p>
      <w:pPr>
        <w:ind w:firstLine="482"/>
        <w:jc w:val="left"/>
        <w:spacing w:line="360" w:lineRule="auto"/>
        <w:widowControl/>
        <w:rPr>
          <w:rFonts w:ascii="Arial" w:hAnsi="Arial" w:cs="Arial"/>
          <w:b/>
          <w:bCs/>
          <w:color w:val="auto"/>
          <w:sz w:val="24"/>
          <w:highlight w:val="none"/>
          <w:lang w:val="zh-CN"/>
        </w:rPr>
      </w:pPr>
      <w:r>
        <w:rPr>
          <w:rFonts w:ascii="Arial" w:hAnsi="Arial" w:cs="Arial"/>
          <w:b/>
          <w:bCs/>
          <w:color w:val="auto"/>
          <w:sz w:val="24"/>
          <w:highlight w:val="none"/>
          <w:lang w:val="zh-CN"/>
        </w:rPr>
        <w:t xml:space="preserve">二、项目概况</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1、项目背景</w:t>
      </w:r>
      <w:r/>
    </w:p>
    <w:p>
      <w:pPr>
        <w:pStyle w:val="1008"/>
        <w:ind w:firstLine="472"/>
        <w:spacing w:line="360" w:lineRule="auto"/>
        <w:rPr>
          <w:rFonts w:hint="eastAsia" w:hAnsi="宋体" w:cs="宋体"/>
          <w:color w:val="auto"/>
          <w:spacing w:val="-2"/>
          <w:sz w:val="24"/>
          <w:szCs w:val="24"/>
          <w:highlight w:val="none"/>
          <w:lang w:bidi="zh-CN"/>
        </w:rPr>
      </w:pPr>
      <w:r/>
      <w:bookmarkStart w:id="257" w:name="_Toc15549309"/>
      <w:r>
        <w:rPr>
          <w:rFonts w:hint="eastAsia" w:hAnsi="宋体" w:cs="宋体"/>
          <w:color w:val="auto"/>
          <w:spacing w:val="-2"/>
          <w:sz w:val="24"/>
          <w:szCs w:val="24"/>
          <w:highlight w:val="none"/>
          <w:lang w:bidi="zh-CN"/>
        </w:rPr>
        <w:t xml:space="preserve">2025年5月，江苏省召开新一代电子政务外网（简称：新“一张网”）建设推进会，</w:t>
      </w:r>
      <w:r>
        <w:rPr>
          <w:rFonts w:hint="eastAsia" w:hAnsi="宋体" w:cs="宋体"/>
          <w:color w:val="auto"/>
          <w:spacing w:val="-2"/>
          <w:sz w:val="24"/>
          <w:szCs w:val="24"/>
          <w:highlight w:val="none"/>
          <w:lang w:val="en-US" w:bidi="zh-CN"/>
        </w:rPr>
        <w:t xml:space="preserve">会上要求</w:t>
      </w:r>
      <w:r>
        <w:rPr>
          <w:rFonts w:hint="eastAsia" w:hAnsi="宋体" w:cs="宋体"/>
          <w:color w:val="auto"/>
          <w:spacing w:val="-2"/>
          <w:sz w:val="24"/>
          <w:szCs w:val="24"/>
          <w:highlight w:val="none"/>
          <w:lang w:bidi="zh-CN"/>
        </w:rPr>
        <w:t xml:space="preserve">打破过去电子政务外网由省市县分级管理的做法，实行全网全透明管理。将市级部门、县（市、区）、乡镇（街道）、村（社区）各级网络和安全设备全部纳入市级统一运管平台管理，实现与省级平台上下贯通实时监测、态势感知全省电子政务外网运行情况。基于我区现状及省市建设指南要求，需对政务外网进行升级改造。</w:t>
      </w:r>
      <w:bookmarkEnd w:id="257"/>
      <w:r/>
      <w:r/>
    </w:p>
    <w:p>
      <w:pPr>
        <w:pStyle w:val="1008"/>
        <w:ind w:firstLine="472"/>
        <w:spacing w:line="360" w:lineRule="auto"/>
        <w:rPr>
          <w:rFonts w:hAnsi="宋体" w:cs="宋体"/>
          <w:color w:val="auto"/>
          <w:spacing w:val="-2"/>
          <w:sz w:val="24"/>
          <w:szCs w:val="24"/>
          <w:highlight w:val="none"/>
          <w:lang w:bidi="zh-CN"/>
        </w:rPr>
      </w:pPr>
      <w:r>
        <w:rPr>
          <w:rFonts w:hint="eastAsia" w:hAnsi="宋体" w:cs="宋体"/>
          <w:color w:val="auto"/>
          <w:spacing w:val="-2"/>
          <w:sz w:val="24"/>
          <w:szCs w:val="24"/>
          <w:highlight w:val="none"/>
          <w:lang w:val="en-US" w:bidi="zh-CN"/>
        </w:rPr>
        <w:t xml:space="preserve">2</w:t>
      </w:r>
      <w:r>
        <w:rPr>
          <w:rFonts w:hAnsi="宋体" w:cs="宋体"/>
          <w:color w:val="auto"/>
          <w:spacing w:val="-2"/>
          <w:sz w:val="24"/>
          <w:szCs w:val="24"/>
          <w:highlight w:val="none"/>
          <w:lang w:bidi="zh-CN"/>
        </w:rPr>
        <w:t xml:space="preserve">、</w:t>
      </w:r>
      <w:r>
        <w:rPr>
          <w:rFonts w:hint="eastAsia" w:hAnsi="宋体" w:cs="宋体"/>
          <w:color w:val="auto"/>
          <w:spacing w:val="-2"/>
          <w:sz w:val="24"/>
          <w:szCs w:val="24"/>
          <w:highlight w:val="none"/>
          <w:lang w:bidi="zh-CN"/>
        </w:rPr>
        <w:t xml:space="preserve">建设依据（包括但不限于以下）</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1）《国家发展改革委关于加强和完善国家电子政务工程建设管理的意见》（发改高技〔2013〕266号）</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2）《国家电子政务外网建设总体规划》（国家信息中心2009年9月）</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3）《南京市政府办公厅关于做好市电子政务外网建设使用管理有关工作的通知》</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4）《国家电子政务外网信息安全标准体系总体框架》（GW0101-2014）</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5）《国家电子政务外网安全等级保护基本要求》（GW0103-2014）</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6）《国家电子政务外网安全等级保护实施指南》（GW0104-2014）</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7）《接入政务外网的局域网安全技术规范》（GW0206-2014）</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8）《国家电子政务外网IPv4地址规划》（GW0206-2015）</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9）《推进互联网协议第六版（IPv6）规模部署行动计划》（中央办公厅，国务院办公厅，2017年11月26日）</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10）《信息安全技术网络安全等级保护基本要求》（GB/T 22239-2019）</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11）《信息安全技术网络安全等级保护安全设计技术要求》（GB/T 25070-2019）</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12）《信息安全技术网络安全等级保护测评要求》（GB/T 28448-2019）</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13）《IP网络技术要求 网络总体》（YD/T 1170-2001）</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14）《IP网络技术要求 网络性能参数与指标》（YD/T 1171-2015）</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15）《计算站场地安全要求》（GB/T 9361-2011）</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16）《计算机场地通用规范》（GB/T 2887-2011）</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17）《信息技术服务 运行维护 第1部分：通用要求》（GB/T 28827.1-2012）</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18）《信息技术服务 运行维护 第2部分：交付规范》（GB/T 28827.2-2012）</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19）《政务网络安全监测平台总体技术要求》（T/CIIA 005-2019）</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20）《国家电子政务外网安全监测体系技术规范与实施指南》（GW0203-2014）</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21）《国家电子政务外网运维管理系统对接规范》（征求意见稿）</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22）《关于印发〈公共安全视频图像信息联网共享应用标准体系（2017版）〉和〈公共安全视频图像信息交换共享体系IP地址规划〉的通知》（中综秘〔2017〕3号）</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23）《信息安全技术 网络基础安全技术要求》（GB/T 20270-2006）</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24）《宽带光纤接入工程技术标准》（GB/T51380-2019）</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25）《中华人民共和国电信条例》</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26）《江苏省数字政府建设2023年工作要点》</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27）《南京市城市运行“一网统管”工作三年行动计划》（宁委办厅字</w:t>
      </w:r>
      <w:r>
        <w:rPr>
          <w:rFonts w:hint="eastAsia" w:hAnsi="宋体" w:cs="宋体"/>
          <w:color w:val="auto"/>
          <w:spacing w:val="-2"/>
          <w:sz w:val="24"/>
          <w:szCs w:val="24"/>
          <w:highlight w:val="none"/>
          <w:lang w:val="en-US" w:eastAsia="zh-CN" w:bidi="zh-CN"/>
        </w:rPr>
        <w:t xml:space="preserve">〔2022〕5号</w:t>
      </w:r>
      <w:r>
        <w:rPr>
          <w:rFonts w:hint="eastAsia" w:ascii="宋体" w:hAnsi="宋体" w:eastAsia="宋体" w:cs="宋体"/>
          <w:color w:val="auto"/>
          <w:spacing w:val="-2"/>
          <w:sz w:val="24"/>
          <w:szCs w:val="24"/>
          <w:highlight w:val="none"/>
          <w:lang w:val="en-US" w:eastAsia="zh-CN" w:bidi="zh-CN"/>
        </w:rPr>
        <w:t xml:space="preserve">）</w:t>
      </w:r>
      <w:r/>
    </w:p>
    <w:p>
      <w:pPr>
        <w:pStyle w:val="1008"/>
        <w:spacing w:line="360" w:lineRule="auto"/>
        <w:rPr>
          <w:rFonts w:hint="eastAsia" w:ascii="宋体" w:hAnsi="宋体" w:eastAsia="宋体" w:cs="宋体"/>
          <w:color w:val="auto"/>
          <w:spacing w:val="-2"/>
          <w:sz w:val="24"/>
          <w:szCs w:val="24"/>
          <w:highlight w:val="none"/>
          <w:lang w:val="en-US" w:eastAsia="zh-CN" w:bidi="zh-CN"/>
        </w:rPr>
      </w:pPr>
      <w:r>
        <w:rPr>
          <w:rFonts w:hint="eastAsia" w:ascii="宋体" w:hAnsi="宋体" w:eastAsia="宋体" w:cs="宋体"/>
          <w:color w:val="auto"/>
          <w:spacing w:val="-2"/>
          <w:sz w:val="24"/>
          <w:szCs w:val="24"/>
          <w:highlight w:val="none"/>
          <w:lang w:val="en-US" w:eastAsia="zh-CN" w:bidi="zh-CN"/>
        </w:rPr>
        <w:t xml:space="preserve">28）《南京市整体推进城市数字化转型“十四五”规划》（宁政办发〔2021〕74号）</w:t>
      </w:r>
      <w:r/>
    </w:p>
    <w:p>
      <w:pPr>
        <w:pStyle w:val="1008"/>
        <w:ind w:firstLine="472"/>
        <w:spacing w:line="360" w:lineRule="auto"/>
        <w:rPr>
          <w:rFonts w:hint="eastAsia" w:hAnsi="宋体" w:cs="宋体"/>
          <w:color w:val="auto"/>
          <w:spacing w:val="-2"/>
          <w:sz w:val="24"/>
          <w:szCs w:val="24"/>
          <w:highlight w:val="none"/>
          <w:lang w:val="zh-CN" w:bidi="zh-CN"/>
        </w:rPr>
      </w:pPr>
      <w:r>
        <w:rPr>
          <w:rFonts w:hint="eastAsia" w:hAnsi="宋体" w:cs="宋体"/>
          <w:color w:val="auto"/>
          <w:spacing w:val="-2"/>
          <w:sz w:val="24"/>
          <w:szCs w:val="24"/>
          <w:highlight w:val="none"/>
          <w:lang w:val="en-US" w:bidi="zh-CN"/>
        </w:rPr>
        <w:t xml:space="preserve">3</w:t>
      </w:r>
      <w:r>
        <w:rPr>
          <w:rFonts w:hint="eastAsia" w:hAnsi="宋体" w:cs="宋体"/>
          <w:color w:val="auto"/>
          <w:spacing w:val="-2"/>
          <w:sz w:val="24"/>
          <w:szCs w:val="24"/>
          <w:highlight w:val="none"/>
          <w:lang w:val="zh-CN" w:bidi="zh-CN"/>
        </w:rPr>
        <w:t xml:space="preserve">、</w:t>
      </w:r>
      <w:r>
        <w:rPr>
          <w:rFonts w:hint="eastAsia" w:hAnsi="宋体" w:cs="宋体"/>
          <w:color w:val="auto"/>
          <w:spacing w:val="-2"/>
          <w:sz w:val="24"/>
          <w:szCs w:val="24"/>
          <w:highlight w:val="none"/>
          <w:lang w:val="en-US" w:bidi="zh-CN"/>
        </w:rPr>
        <w:t xml:space="preserve">服务</w:t>
      </w:r>
      <w:r>
        <w:rPr>
          <w:rFonts w:hint="eastAsia" w:hAnsi="宋体" w:cs="宋体"/>
          <w:color w:val="auto"/>
          <w:spacing w:val="-2"/>
          <w:sz w:val="24"/>
          <w:szCs w:val="24"/>
          <w:highlight w:val="none"/>
          <w:lang w:val="zh-CN" w:bidi="zh-CN"/>
        </w:rPr>
        <w:t xml:space="preserve">目标</w:t>
      </w:r>
      <w:r/>
    </w:p>
    <w:p>
      <w:pPr>
        <w:pStyle w:val="1008"/>
        <w:ind w:firstLine="472"/>
        <w:spacing w:line="360" w:lineRule="auto"/>
        <w:rPr>
          <w:rFonts w:hint="eastAsia" w:hAnsi="宋体" w:cs="宋体"/>
          <w:color w:val="auto"/>
          <w:spacing w:val="-2"/>
          <w:sz w:val="24"/>
          <w:szCs w:val="24"/>
          <w:highlight w:val="none"/>
          <w:lang w:val="en-US" w:eastAsia="zh-CN" w:bidi="zh-CN"/>
        </w:rPr>
      </w:pPr>
      <w:r>
        <w:rPr>
          <w:rFonts w:hint="eastAsia" w:hAnsi="宋体" w:cs="宋体"/>
          <w:color w:val="auto"/>
          <w:spacing w:val="-2"/>
          <w:sz w:val="24"/>
          <w:szCs w:val="24"/>
          <w:highlight w:val="none"/>
          <w:lang w:val="zh-CN" w:bidi="zh-CN"/>
        </w:rPr>
        <w:t xml:space="preserve">按照省、市要求，</w:t>
      </w:r>
      <w:r>
        <w:rPr>
          <w:rFonts w:hint="eastAsia" w:hAnsi="宋体" w:cs="宋体"/>
          <w:color w:val="auto"/>
          <w:spacing w:val="-2"/>
          <w:sz w:val="24"/>
          <w:szCs w:val="24"/>
          <w:highlight w:val="none"/>
          <w:lang w:val="en-US" w:bidi="zh-CN"/>
        </w:rPr>
        <w:t xml:space="preserve">升级改造鼓楼区电子政务外网，完成后</w:t>
      </w:r>
      <w:r>
        <w:rPr>
          <w:rFonts w:hint="eastAsia" w:hAnsi="宋体" w:cs="宋体"/>
          <w:color w:val="auto"/>
          <w:spacing w:val="-2"/>
          <w:sz w:val="24"/>
          <w:szCs w:val="24"/>
          <w:highlight w:val="none"/>
          <w:lang w:bidi="zh-CN"/>
        </w:rPr>
        <w:t xml:space="preserve">具有全业务、全用户、多形态、高并发、高带宽的特征，具备高适应性、高稳定性和高安全性。</w:t>
      </w:r>
      <w:r>
        <w:rPr>
          <w:rFonts w:hint="eastAsia" w:hAnsi="宋体" w:cs="宋体"/>
          <w:color w:val="auto"/>
          <w:spacing w:val="-2"/>
          <w:sz w:val="24"/>
          <w:szCs w:val="24"/>
          <w:highlight w:val="none"/>
          <w:lang w:val="zh-CN" w:bidi="zh-CN"/>
        </w:rPr>
        <w:t xml:space="preserve">实现网络承载能力、业务支撑能力、统一管理能力和安全保障能力的质态跃升，形成统一调度、全域感知、敏捷响应的新型网络管理体系。</w:t>
      </w:r>
      <w:r/>
    </w:p>
    <w:p>
      <w:pPr>
        <w:pStyle w:val="1008"/>
        <w:ind w:firstLine="472"/>
        <w:spacing w:line="360" w:lineRule="auto"/>
        <w:rPr>
          <w:rFonts w:hint="eastAsia" w:hAnsi="宋体" w:cs="宋体"/>
          <w:color w:val="auto"/>
          <w:spacing w:val="-2"/>
          <w:sz w:val="24"/>
          <w:szCs w:val="24"/>
          <w:highlight w:val="none"/>
          <w:lang w:val="en-US" w:eastAsia="zh-CN" w:bidi="zh-CN"/>
        </w:rPr>
      </w:pPr>
      <w:r>
        <w:rPr>
          <w:rFonts w:hint="eastAsia" w:hAnsi="宋体" w:cs="宋体"/>
          <w:color w:val="auto"/>
          <w:spacing w:val="-2"/>
          <w:sz w:val="24"/>
          <w:szCs w:val="24"/>
          <w:highlight w:val="none"/>
          <w:lang w:val="en-US" w:eastAsia="zh-CN" w:bidi="zh-CN"/>
        </w:rPr>
        <w:t xml:space="preserve">4、租赁服务内容</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本项目租赁服务内容包括但不限于：</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（1）核心SRv6接入功能服务；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（2）院外汇聚SRv6接入功能服务；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（3）集中SRv6汇聚功能服务； </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（4）SDN控制功能服务；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（5）边界控制服务；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（6）安全巡检服务；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（7）网络安全</w:t>
      </w:r>
      <w:r>
        <w:rPr>
          <w:rFonts w:hint="eastAsia" w:hAnsi="宋体" w:cs="宋体"/>
          <w:color w:val="auto"/>
          <w:spacing w:val="-2"/>
          <w:sz w:val="24"/>
          <w:szCs w:val="24"/>
          <w:highlight w:val="none"/>
          <w:lang w:val="en-US" w:bidi="zh-CN"/>
        </w:rPr>
        <w:t xml:space="preserve">检</w:t>
      </w:r>
      <w:r>
        <w:rPr>
          <w:rFonts w:hint="eastAsia" w:hAnsi="宋体" w:cs="宋体"/>
          <w:color w:val="auto"/>
          <w:spacing w:val="-2"/>
          <w:sz w:val="24"/>
          <w:szCs w:val="24"/>
          <w:highlight w:val="none"/>
          <w:lang w:bidi="zh-CN"/>
        </w:rPr>
        <w:t xml:space="preserve">测服务；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（8）安全通告服务；</w:t>
      </w:r>
      <w:r/>
    </w:p>
    <w:p>
      <w:pPr>
        <w:pStyle w:val="1008"/>
        <w:ind w:firstLine="472"/>
        <w:spacing w:line="360" w:lineRule="auto"/>
        <w:rPr>
          <w:rFonts w:hint="eastAsia" w:hAnsi="宋体" w:cs="宋体"/>
          <w:color w:val="auto"/>
          <w:spacing w:val="-2"/>
          <w:sz w:val="24"/>
          <w:szCs w:val="24"/>
          <w:highlight w:val="none"/>
          <w:lang w:bidi="zh-CN"/>
        </w:rPr>
      </w:pPr>
      <w:r>
        <w:rPr>
          <w:rFonts w:hint="eastAsia" w:hAnsi="宋体" w:cs="宋体"/>
          <w:color w:val="auto"/>
          <w:spacing w:val="-2"/>
          <w:sz w:val="24"/>
          <w:szCs w:val="24"/>
          <w:highlight w:val="none"/>
          <w:lang w:bidi="zh-CN"/>
        </w:rPr>
        <w:t xml:space="preserve">（9）网络安全运维咨询服务；</w:t>
      </w:r>
      <w:r/>
    </w:p>
    <w:p>
      <w:pPr>
        <w:pStyle w:val="1008"/>
        <w:ind w:firstLine="472"/>
        <w:spacing w:line="360" w:lineRule="auto"/>
        <w:rPr>
          <w:rFonts w:hint="default" w:hAnsi="宋体" w:cs="宋体"/>
          <w:color w:val="auto"/>
          <w:spacing w:val="-2"/>
          <w:sz w:val="24"/>
          <w:szCs w:val="24"/>
          <w:highlight w:val="none"/>
          <w:lang w:val="en-US" w:eastAsia="zh-CN" w:bidi="zh-CN"/>
        </w:rPr>
      </w:pPr>
      <w:r>
        <w:rPr>
          <w:rFonts w:hint="eastAsia" w:hAnsi="宋体" w:cs="宋体"/>
          <w:color w:val="auto"/>
          <w:spacing w:val="-2"/>
          <w:sz w:val="24"/>
          <w:szCs w:val="24"/>
          <w:highlight w:val="none"/>
          <w:lang w:bidi="zh-CN"/>
        </w:rPr>
        <w:t xml:space="preserve">（1</w:t>
      </w:r>
      <w:r>
        <w:rPr>
          <w:rFonts w:hint="eastAsia" w:hAnsi="宋体" w:cs="宋体"/>
          <w:color w:val="auto"/>
          <w:spacing w:val="-2"/>
          <w:sz w:val="24"/>
          <w:szCs w:val="24"/>
          <w:highlight w:val="none"/>
          <w:lang w:val="en-US" w:bidi="zh-CN"/>
        </w:rPr>
        <w:t xml:space="preserve">0</w:t>
      </w:r>
      <w:r>
        <w:rPr>
          <w:rFonts w:hint="eastAsia" w:hAnsi="宋体" w:cs="宋体"/>
          <w:color w:val="auto"/>
          <w:spacing w:val="-2"/>
          <w:sz w:val="24"/>
          <w:szCs w:val="24"/>
          <w:highlight w:val="none"/>
          <w:lang w:bidi="zh-CN"/>
        </w:rPr>
        <w:t xml:space="preserve">）</w:t>
      </w:r>
      <w:r>
        <w:rPr>
          <w:rFonts w:hint="eastAsia" w:hAnsi="宋体" w:cs="宋体"/>
          <w:color w:val="auto"/>
          <w:spacing w:val="-2"/>
          <w:sz w:val="24"/>
          <w:szCs w:val="24"/>
          <w:highlight w:val="none"/>
          <w:lang w:val="en-US" w:eastAsia="zh-CN" w:bidi="zh-CN"/>
        </w:rPr>
        <w:t xml:space="preserve">实施服务</w:t>
      </w:r>
      <w:r>
        <w:rPr>
          <w:rFonts w:hint="eastAsia" w:hAnsi="宋体" w:cs="宋体"/>
          <w:color w:val="auto"/>
          <w:spacing w:val="-2"/>
          <w:sz w:val="24"/>
          <w:szCs w:val="24"/>
          <w:highlight w:val="none"/>
          <w:lang w:bidi="zh-CN"/>
        </w:rPr>
        <w:t xml:space="preserve">。</w:t>
      </w:r>
      <w:r/>
    </w:p>
    <w:p>
      <w:pPr>
        <w:ind w:firstLine="482"/>
        <w:spacing w:line="360" w:lineRule="auto"/>
        <w:widowControl/>
        <w:rPr>
          <w:rFonts w:ascii="Arial" w:hAnsi="Arial" w:cs="Arial"/>
          <w:b/>
          <w:bCs/>
          <w:color w:val="auto"/>
          <w:sz w:val="24"/>
          <w:highlight w:val="none"/>
          <w:lang w:val="zh-CN"/>
        </w:rPr>
      </w:pPr>
      <w:r>
        <w:rPr>
          <w:rFonts w:ascii="Arial" w:hAnsi="Arial" w:cs="Arial"/>
          <w:b/>
          <w:bCs/>
          <w:color w:val="auto"/>
          <w:sz w:val="24"/>
          <w:highlight w:val="none"/>
          <w:lang w:val="zh-CN"/>
        </w:rPr>
        <w:t xml:space="preserve">三、采购需求</w:t>
      </w:r>
      <w:r/>
    </w:p>
    <w:tbl>
      <w:tblPr>
        <w:tblStyle w:val="707"/>
        <w:tblW w:w="5087" w:type="pct"/>
        <w:jc w:val="center"/>
        <w:tblLayout w:type="autofit"/>
        <w:tblCellMar>
          <w:left w:w="108" w:type="dxa"/>
          <w:top w:w="0" w:type="dxa"/>
          <w:right w:w="108" w:type="dxa"/>
          <w:bottom w:w="0" w:type="dxa"/>
        </w:tblCellMar>
        <w:tblLook w:val="04A0" w:firstRow="1" w:lastRow="0" w:firstColumn="1" w:lastColumn="0" w:noHBand="0" w:noVBand="1"/>
      </w:tblPr>
      <w:tblGrid>
        <w:gridCol w:w="1407"/>
        <w:gridCol w:w="2912"/>
        <w:gridCol w:w="762"/>
        <w:gridCol w:w="1088"/>
        <w:gridCol w:w="1330"/>
        <w:gridCol w:w="1202"/>
      </w:tblGrid>
      <w:tr>
        <w:trPr>
          <w:jc w:val="center"/>
          <w:trHeight w:val="1006"/>
        </w:trPr>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3"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产品属性</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widowControl/>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服务期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3" w:type="pct"/>
            <w:vAlign w:val="center"/>
            <w:textDirection w:val="lrTb"/>
            <w:noWrap w:val="false"/>
          </w:tcPr>
          <w:p>
            <w:pPr>
              <w:jc w:val="center"/>
              <w:widowControl/>
              <w:rPr>
                <w:rFonts w:hint="eastAsia" w:ascii="宋体" w:hAnsi="宋体" w:cs="宋体"/>
                <w:b/>
                <w:bCs/>
                <w:color w:val="auto"/>
                <w:sz w:val="20"/>
                <w:szCs w:val="20"/>
                <w:highlight w:val="none"/>
                <w:lang w:eastAsia="zh-CN"/>
              </w:rPr>
            </w:pPr>
            <w:r>
              <w:rPr>
                <w:rFonts w:hint="eastAsia" w:ascii="宋体" w:hAnsi="宋体" w:cs="宋体"/>
                <w:b/>
                <w:bCs/>
                <w:color w:val="auto"/>
                <w:sz w:val="20"/>
                <w:szCs w:val="20"/>
                <w:highlight w:val="none"/>
                <w:lang w:eastAsia="zh-CN"/>
              </w:rPr>
              <w:t xml:space="preserve">网络与数据交换服务</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服务</w:t>
            </w:r>
            <w:r/>
          </w:p>
        </w:tc>
        <w:tc>
          <w:tcPr>
            <w:shd w:val="clear" w:color="auto" w:fill="auto"/>
            <w:tcBorders>
              <w:top w:val="single" w:color="000000" w:sz="4" w:space="0"/>
              <w:left w:val="single" w:color="000000" w:sz="4" w:space="0"/>
              <w:right w:val="single" w:color="000000" w:sz="4" w:space="0"/>
            </w:tcBorders>
            <w:tcW w:w="690" w:type="pct"/>
            <w:vAlign w:val="center"/>
            <w:vMerge w:val="restart"/>
            <w:textDirection w:val="lrTb"/>
            <w:noWrap w:val="false"/>
          </w:tcPr>
          <w:p>
            <w:pPr>
              <w:jc w:val="center"/>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3年</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3" w:type="pct"/>
            <w:vAlign w:val="center"/>
            <w:textDirection w:val="lrTb"/>
            <w:noWrap w:val="false"/>
          </w:tcPr>
          <w:p>
            <w:pPr>
              <w:jc w:val="center"/>
              <w:widowControl/>
              <w:rPr>
                <w:rFonts w:hint="eastAsia" w:ascii="宋体" w:hAnsi="宋体" w:cs="宋体"/>
                <w:b/>
                <w:bCs/>
                <w:color w:val="auto"/>
                <w:sz w:val="20"/>
                <w:szCs w:val="20"/>
                <w:highlight w:val="none"/>
                <w:lang w:eastAsia="zh-CN"/>
              </w:rPr>
            </w:pPr>
            <w:r>
              <w:rPr>
                <w:rFonts w:hint="eastAsia" w:ascii="宋体" w:hAnsi="宋体" w:cs="宋体"/>
                <w:b/>
                <w:bCs/>
                <w:color w:val="auto"/>
                <w:sz w:val="20"/>
                <w:szCs w:val="20"/>
                <w:highlight w:val="none"/>
                <w:lang w:eastAsia="zh-CN"/>
              </w:rPr>
              <w:t xml:space="preserve">网络安全服务</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服务</w:t>
            </w:r>
            <w:r/>
          </w:p>
        </w:tc>
        <w:tc>
          <w:tcPr>
            <w:shd w:val="clear" w:color="auto" w:fill="auto"/>
            <w:tcBorders>
              <w:left w:val="single" w:color="000000" w:sz="4" w:space="0"/>
              <w:right w:val="single" w:color="000000" w:sz="4" w:space="0"/>
            </w:tcBorders>
            <w:tcW w:w="690" w:type="pct"/>
            <w:vAlign w:val="center"/>
            <w:vMerge w:val="continue"/>
            <w:textDirection w:val="lrTb"/>
            <w:noWrap w:val="false"/>
          </w:tcPr>
          <w:p>
            <w:pPr>
              <w:jc w:val="center"/>
              <w:rPr>
                <w:rFonts w:ascii="宋体" w:hAnsi="宋体" w:cs="宋体"/>
                <w:b/>
                <w:bCs/>
                <w:color w:val="auto"/>
                <w:sz w:val="20"/>
                <w:szCs w:val="20"/>
                <w:highlight w:val="none"/>
              </w:rPr>
            </w:pPr>
            <w:r>
              <w:rPr>
                <w:rFonts w:ascii="宋体" w:hAnsi="宋体" w:cs="宋体"/>
                <w:b/>
                <w:bCs/>
                <w:color w:val="auto"/>
                <w:sz w:val="20"/>
                <w:szCs w:val="20"/>
                <w:highlight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3" w:type="pct"/>
            <w:vAlign w:val="center"/>
            <w:textDirection w:val="lrTb"/>
            <w:noWrap w:val="false"/>
          </w:tcPr>
          <w:p>
            <w:pPr>
              <w:jc w:val="center"/>
              <w:widowControl/>
              <w:rPr>
                <w:rFonts w:hint="eastAsia" w:ascii="宋体" w:hAnsi="宋体" w:cs="宋体"/>
                <w:b/>
                <w:bCs/>
                <w:color w:val="auto"/>
                <w:sz w:val="20"/>
                <w:szCs w:val="20"/>
                <w:highlight w:val="none"/>
                <w:lang w:eastAsia="zh-CN"/>
              </w:rPr>
            </w:pPr>
            <w:r>
              <w:rPr>
                <w:rFonts w:hint="eastAsia" w:ascii="宋体" w:hAnsi="宋体" w:cs="宋体"/>
                <w:b/>
                <w:bCs/>
                <w:color w:val="auto"/>
                <w:sz w:val="20"/>
                <w:szCs w:val="20"/>
                <w:highlight w:val="none"/>
                <w:lang w:val="en-US" w:eastAsia="zh-CN"/>
              </w:rPr>
              <w:t xml:space="preserve">实施服务</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服务</w:t>
            </w:r>
            <w:r/>
          </w:p>
        </w:tc>
        <w:tc>
          <w:tcPr>
            <w:shd w:val="clear" w:color="auto" w:fill="auto"/>
            <w:tcBorders>
              <w:left w:val="single" w:color="000000" w:sz="4" w:space="0"/>
              <w:bottom w:val="single" w:color="000000" w:sz="4" w:space="0"/>
              <w:right w:val="single" w:color="000000" w:sz="4" w:space="0"/>
            </w:tcBorders>
            <w:tcW w:w="690" w:type="pct"/>
            <w:vAlign w:val="center"/>
            <w:vMerge w:val="continue"/>
            <w:textDirection w:val="lrTb"/>
            <w:noWrap w:val="false"/>
          </w:tcPr>
          <w:p>
            <w:pPr>
              <w:jc w:val="center"/>
              <w:rPr>
                <w:rFonts w:ascii="宋体" w:hAnsi="宋体" w:cs="宋体"/>
                <w:b/>
                <w:bCs/>
                <w:color w:val="auto"/>
                <w:sz w:val="20"/>
                <w:szCs w:val="20"/>
                <w:highlight w:val="none"/>
              </w:rPr>
            </w:pPr>
            <w:r>
              <w:rPr>
                <w:rFonts w:ascii="宋体" w:hAnsi="宋体" w:cs="宋体"/>
                <w:b/>
                <w:bCs/>
                <w:color w:val="auto"/>
                <w:sz w:val="20"/>
                <w:szCs w:val="20"/>
                <w:highlight w:val="none"/>
              </w:rPr>
            </w:r>
            <w:r/>
          </w:p>
        </w:tc>
      </w:tr>
    </w:tbl>
    <w:p>
      <w:pPr>
        <w:ind w:firstLine="482"/>
        <w:spacing w:line="360" w:lineRule="auto"/>
        <w:widowControl/>
        <w:rPr>
          <w:rFonts w:ascii="Arial" w:hAnsi="Arial" w:cs="Arial"/>
          <w:b/>
          <w:bCs/>
          <w:color w:val="auto"/>
          <w:sz w:val="24"/>
          <w:highlight w:val="none"/>
          <w:lang w:val="zh-CN"/>
        </w:rPr>
      </w:pPr>
      <w:r>
        <w:rPr>
          <w:rFonts w:ascii="Arial" w:hAnsi="Arial" w:cs="Arial"/>
          <w:b/>
          <w:bCs/>
          <w:color w:val="auto"/>
          <w:sz w:val="24"/>
          <w:highlight w:val="none"/>
          <w:lang w:val="zh-CN"/>
        </w:rPr>
      </w:r>
      <w:r/>
    </w:p>
    <w:p>
      <w:pPr>
        <w:ind w:firstLine="482"/>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rPr>
        <w:t xml:space="preserve">四、拟采购标的需要满足的技术、商务要求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（一）服务指标要求</w:t>
      </w:r>
      <w:r/>
    </w:p>
    <w:tbl>
      <w:tblPr>
        <w:tblStyle w:val="707"/>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625"/>
        <w:gridCol w:w="1198"/>
        <w:gridCol w:w="6413"/>
      </w:tblGrid>
      <w:tr>
        <w:trPr>
          <w:jc w:val="center"/>
          <w:trHeight w:val="624"/>
        </w:trPr>
        <w:tc>
          <w:tcPr>
            <w:tcW w:w="883"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一级指标</w:t>
            </w:r>
            <w:r/>
          </w:p>
        </w:tc>
        <w:tc>
          <w:tcPr>
            <w:tcW w:w="625"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198"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二级指标</w:t>
            </w:r>
            <w:r/>
          </w:p>
        </w:tc>
        <w:tc>
          <w:tcPr>
            <w:tcW w:w="6413"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指标要求</w:t>
            </w:r>
            <w:r/>
          </w:p>
        </w:tc>
      </w:tr>
      <w:tr>
        <w:trPr>
          <w:jc w:val="center"/>
          <w:trHeight w:val="99"/>
        </w:trPr>
        <w:tc>
          <w:tcPr>
            <w:tcW w:w="883"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网络与数据交换服务</w:t>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核心SRv6接入功能</w:t>
            </w:r>
            <w:r/>
          </w:p>
        </w:tc>
        <w:tc>
          <w:tcPr>
            <w:tcW w:w="6413"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w:t>
            </w:r>
            <w:r>
              <w:rPr>
                <w:rFonts w:hint="eastAsia" w:ascii="宋体" w:hAnsi="宋体" w:eastAsia="宋体" w:cs="宋体"/>
                <w:color w:val="auto"/>
                <w:sz w:val="24"/>
                <w:highlight w:val="none"/>
                <w:lang w:val="en-US" w:eastAsia="zh-CN"/>
              </w:rPr>
              <w:t xml:space="preserve">服务所提供设备需</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en-US" w:eastAsia="zh-CN"/>
              </w:rPr>
              <w:t xml:space="preserve">SRv6核心路由器技术和规格</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iCs/>
                <w:color w:val="auto"/>
                <w:sz w:val="24"/>
                <w:highlight w:val="none"/>
                <w:lang w:val="en-US" w:eastAsia="zh-CN"/>
              </w:rPr>
              <w:t xml:space="preserve">提供</w:t>
            </w:r>
            <w:r>
              <w:rPr>
                <w:rFonts w:hint="eastAsia" w:ascii="宋体" w:hAnsi="宋体" w:eastAsia="宋体" w:cs="宋体"/>
                <w:color w:val="auto"/>
                <w:sz w:val="24"/>
                <w:highlight w:val="none"/>
                <w:lang w:val="en-US" w:eastAsia="zh-CN"/>
              </w:rPr>
              <w:t xml:space="preserve">与市政务外网四平面网络实现骨干40G互联服务；</w:t>
            </w:r>
            <w:r>
              <w:rPr>
                <w:rFonts w:hint="eastAsia" w:ascii="宋体" w:hAnsi="宋体" w:eastAsia="宋体" w:cs="宋体"/>
                <w:b/>
                <w:bCs/>
                <w:iCs/>
                <w:color w:val="auto"/>
                <w:sz w:val="24"/>
                <w:highlight w:val="none"/>
                <w:lang w:val="en-US"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rPr>
                <w:rFonts w:hint="eastAsia" w:ascii="宋体" w:hAnsi="宋体" w:eastAsia="宋体" w:cs="宋体"/>
                <w:b/>
                <w:bCs/>
                <w:iCs/>
                <w:color w:val="auto"/>
                <w:sz w:val="24"/>
                <w:highlight w:val="none"/>
                <w:lang w:val="en-US" w:eastAsia="zh-CN"/>
              </w:rPr>
              <w:t xml:space="preserve">）</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（3）提供设备对接SDN控制器服务；</w:t>
            </w:r>
            <w:r/>
          </w:p>
        </w:tc>
      </w:tr>
      <w:tr>
        <w:trPr>
          <w:jc w:val="center"/>
          <w:trHeight w:val="691"/>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院外汇聚SRv6接入功能</w:t>
            </w:r>
            <w:r/>
          </w:p>
        </w:tc>
        <w:tc>
          <w:tcPr>
            <w:tcW w:w="6413"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w:t>
            </w:r>
            <w:r>
              <w:rPr>
                <w:rFonts w:hint="eastAsia" w:ascii="宋体" w:hAnsi="宋体" w:eastAsia="宋体" w:cs="宋体"/>
                <w:color w:val="auto"/>
                <w:sz w:val="24"/>
                <w:highlight w:val="none"/>
                <w:lang w:val="en-US" w:eastAsia="zh-CN"/>
              </w:rPr>
              <w:t xml:space="preserve">服务所提供设备需</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en-US" w:eastAsia="zh-CN"/>
              </w:rPr>
              <w:t xml:space="preserve">院外单位SRv6汇聚路由器技术和规格</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iCs/>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2</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本服务报价中需包含本次5个院外单位千兆光纤或数字链路的安装、接入费用</w:t>
            </w:r>
            <w:r>
              <w:rPr>
                <w:rFonts w:hint="eastAsia" w:ascii="宋体" w:hAnsi="宋体" w:cs="宋体"/>
                <w:iCs/>
                <w:color w:val="auto"/>
                <w:sz w:val="24"/>
                <w:highlight w:val="none"/>
                <w:lang w:val="en-US" w:eastAsia="zh-CN"/>
              </w:rPr>
              <w:t xml:space="preserve">，并单独报价</w:t>
            </w:r>
            <w:r>
              <w:rPr>
                <w:rFonts w:hint="eastAsia" w:ascii="宋体" w:hAnsi="宋体" w:eastAsia="宋体" w:cs="宋体"/>
                <w:iCs/>
                <w:color w:val="auto"/>
                <w:sz w:val="24"/>
                <w:highlight w:val="none"/>
                <w:lang w:val="en-US" w:eastAsia="zh-CN"/>
              </w:rPr>
              <w:t xml:space="preserve">；</w:t>
            </w:r>
            <w:r/>
          </w:p>
          <w:p>
            <w:pPr>
              <w:jc w:val="left"/>
              <w:widowControl/>
              <w:rPr>
                <w:rFonts w:hint="eastAsia" w:ascii="宋体" w:hAnsi="宋体" w:eastAsia="宋体" w:cs="宋体"/>
                <w:iCs/>
                <w:color w:val="auto"/>
                <w:sz w:val="24"/>
                <w:highlight w:val="none"/>
                <w:lang w:val="en-US" w:eastAsia="zh-CN"/>
              </w:rPr>
            </w:pPr>
            <w:r>
              <w:rPr>
                <w:rFonts w:hint="eastAsia" w:ascii="宋体" w:hAnsi="宋体" w:eastAsia="宋体" w:cs="宋体"/>
                <w:iCs/>
                <w:color w:val="auto"/>
                <w:sz w:val="24"/>
                <w:highlight w:val="none"/>
                <w:lang w:val="en-US" w:eastAsia="zh-CN"/>
              </w:rPr>
              <w:t xml:space="preserve">（3）租赁服务期内，提供新增院外单位千兆光纤或数字链路的接入、变更和拆除等服务，具体费用按中标价实施；</w:t>
            </w:r>
            <w:r/>
          </w:p>
          <w:p>
            <w:pPr>
              <w:jc w:val="left"/>
              <w:widowControl/>
              <w:rPr>
                <w:rFonts w:hint="eastAsia" w:ascii="宋体" w:hAnsi="宋体" w:eastAsia="宋体" w:cs="宋体"/>
                <w:iCs/>
                <w:color w:val="auto"/>
                <w:sz w:val="24"/>
                <w:highlight w:val="none"/>
                <w:lang w:val="en-US" w:eastAsia="zh-CN"/>
              </w:rPr>
            </w:pPr>
            <w:r>
              <w:rPr>
                <w:rFonts w:hint="eastAsia" w:ascii="宋体" w:hAnsi="宋体" w:eastAsia="宋体" w:cs="宋体"/>
                <w:color w:val="auto"/>
                <w:sz w:val="24"/>
                <w:highlight w:val="none"/>
                <w:lang w:val="en-US" w:eastAsia="zh-CN"/>
              </w:rPr>
              <w:t xml:space="preserve">（4）提供设备对接SDN控制器服务；</w:t>
            </w:r>
            <w:r/>
          </w:p>
        </w:tc>
      </w:tr>
      <w:tr>
        <w:trPr>
          <w:jc w:val="center"/>
          <w:trHeight w:val="416"/>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集中SRv6汇聚功能</w:t>
            </w:r>
            <w:r/>
          </w:p>
        </w:tc>
        <w:tc>
          <w:tcPr>
            <w:tcW w:w="6413"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w:t>
            </w:r>
            <w:r>
              <w:rPr>
                <w:rFonts w:hint="eastAsia" w:ascii="宋体" w:hAnsi="宋体" w:eastAsia="宋体" w:cs="宋体"/>
                <w:color w:val="auto"/>
                <w:sz w:val="24"/>
                <w:highlight w:val="none"/>
                <w:lang w:val="en-US" w:eastAsia="zh-CN"/>
              </w:rPr>
              <w:t xml:space="preserve">服务所提供设备需</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en-US" w:eastAsia="zh-CN"/>
              </w:rPr>
              <w:t xml:space="preserve">集中办公点SRv6汇聚路由器技术和规格</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w:t>
            </w:r>
            <w:r/>
          </w:p>
          <w:p>
            <w:pPr>
              <w:jc w:val="left"/>
              <w:widowControl/>
              <w:rPr>
                <w:rFonts w:hint="eastAsia" w:ascii="宋体" w:hAnsi="宋体" w:eastAsia="宋体" w:cs="宋体"/>
                <w:iCs/>
                <w:color w:val="auto"/>
                <w:sz w:val="24"/>
                <w:highlight w:val="none"/>
                <w:lang w:val="en-US" w:eastAsia="zh-CN"/>
              </w:rPr>
            </w:pP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2</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提供设备接入、变更和拆除等服务；</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（3）提供设备对接SDN控制器服务；</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（4）服务过程中，不得影响院内单位的正常办公用网。</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（5）协助处理入网设备的调试</w:t>
            </w:r>
            <w:r/>
          </w:p>
        </w:tc>
      </w:tr>
      <w:tr>
        <w:trPr>
          <w:jc w:val="center"/>
          <w:trHeight w:val="468"/>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SDN控制功能</w:t>
            </w:r>
            <w:r/>
          </w:p>
        </w:tc>
        <w:tc>
          <w:tcPr>
            <w:tcW w:w="6413" w:type="dxa"/>
            <w:vAlign w:val="center"/>
            <w:textDirection w:val="lrTb"/>
            <w:noWrap w:val="false"/>
          </w:tcPr>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w:t>
            </w:r>
            <w:r>
              <w:rPr>
                <w:rFonts w:hint="eastAsia" w:ascii="宋体" w:hAnsi="宋体" w:eastAsia="宋体" w:cs="宋体"/>
                <w:color w:val="auto"/>
                <w:sz w:val="24"/>
                <w:highlight w:val="none"/>
                <w:lang w:val="en-US" w:eastAsia="zh-CN"/>
              </w:rPr>
              <w:t xml:space="preserve">服务所提供设备需满足SDN控制器相关技术和规格要求。</w:t>
            </w:r>
            <w:r/>
          </w:p>
          <w:p>
            <w:pPr>
              <w:ind w:left="0" w:right="0" w:firstLine="0"/>
              <w:jc w:val="both"/>
              <w:spacing w:before="0" w:after="0"/>
              <w:rPr>
                <w:rFonts w:hint="eastAsia" w:ascii="宋体" w:hAnsi="宋体" w:eastAsia="宋体" w:cs="宋体"/>
                <w:i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2</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本服务需提供相关</w:t>
            </w:r>
            <w:r>
              <w:rPr>
                <w:rFonts w:hint="eastAsia" w:ascii="宋体" w:hAnsi="宋体" w:eastAsia="宋体" w:cs="宋体"/>
                <w:iCs/>
                <w:color w:val="auto"/>
                <w:sz w:val="24"/>
                <w:highlight w:val="none"/>
              </w:rPr>
              <w:t xml:space="preserve">具备</w:t>
            </w:r>
            <w:r>
              <w:rPr>
                <w:rFonts w:hint="eastAsia" w:ascii="宋体" w:hAnsi="宋体" w:eastAsia="宋体" w:cs="宋体"/>
                <w:iCs/>
                <w:color w:val="auto"/>
                <w:sz w:val="24"/>
                <w:highlight w:val="none"/>
                <w:lang w:val="en-US" w:eastAsia="zh-CN"/>
              </w:rPr>
              <w:t xml:space="preserve">与市级SDN路由器的对接和联调能力，以及调试满足市级要求的相关协议和路由策略配置的能力；提供实现新建 SDN 控制器与市级SDN控制器对接或与市级跨域编排器对接的能力；</w:t>
            </w:r>
            <w:r>
              <w:rPr>
                <w:rFonts w:hint="eastAsia" w:ascii="宋体" w:hAnsi="宋体" w:eastAsia="宋体" w:cs="宋体"/>
                <w:color w:val="auto"/>
                <w:sz w:val="24"/>
                <w:highlight w:val="none"/>
                <w:lang w:val="en-US" w:eastAsia="zh-CN"/>
              </w:rPr>
              <w:t xml:space="preserve">提供与市级运管平台对接服务</w:t>
            </w:r>
            <w:r>
              <w:rPr>
                <w:rFonts w:hint="eastAsia" w:ascii="宋体" w:hAnsi="宋体" w:eastAsia="宋体" w:cs="宋体"/>
                <w:b/>
                <w:bCs/>
                <w:iCs/>
                <w:color w:val="auto"/>
                <w:sz w:val="24"/>
                <w:highlight w:val="none"/>
                <w:lang w:val="en-US"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rPr>
                <w:rFonts w:hint="eastAsia" w:ascii="宋体" w:hAnsi="宋体" w:eastAsia="宋体" w:cs="宋体"/>
                <w:b/>
                <w:bCs/>
                <w:iCs/>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w:t>
            </w:r>
            <w:r/>
          </w:p>
          <w:p>
            <w:pPr>
              <w:ind w:left="0" w:right="0" w:firstLine="0"/>
              <w:jc w:val="both"/>
              <w:spacing w:before="0" w:after="0"/>
              <w:rPr>
                <w:rFonts w:hint="eastAsia" w:ascii="宋体" w:hAnsi="宋体" w:eastAsia="宋体" w:cs="宋体"/>
                <w:b/>
                <w:bCs/>
                <w:i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3</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提供必要时能够实现与本市端到端拓扑采集和呈现、切片管理、随流检测、跨域算路和SRv6隧道下发等市区网络统一管理能力；</w:t>
            </w:r>
            <w:r>
              <w:rPr>
                <w:rFonts w:hint="eastAsia" w:ascii="宋体" w:hAnsi="宋体" w:eastAsia="宋体" w:cs="宋体"/>
                <w:b/>
                <w:bCs/>
                <w:iCs/>
                <w:color w:val="auto"/>
                <w:sz w:val="24"/>
                <w:highlight w:val="none"/>
                <w:lang w:val="en-US"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rPr>
                <w:rFonts w:hint="eastAsia" w:ascii="宋体" w:hAnsi="宋体" w:eastAsia="宋体" w:cs="宋体"/>
                <w:b/>
                <w:bCs/>
                <w:iCs/>
                <w:color w:val="auto"/>
                <w:sz w:val="24"/>
                <w:highlight w:val="none"/>
                <w:lang w:val="en-US" w:eastAsia="zh-CN"/>
              </w:rPr>
              <w:t xml:space="preserve">）</w:t>
            </w:r>
            <w:r/>
          </w:p>
          <w:p>
            <w:pPr>
              <w:ind w:left="0" w:right="0" w:firstLine="0"/>
              <w:jc w:val="both"/>
              <w:spacing w:before="0" w:after="0"/>
              <w:rPr>
                <w:rFonts w:hint="eastAsia" w:ascii="宋体" w:hAnsi="宋体" w:eastAsia="宋体" w:cs="宋体"/>
                <w:i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iCs/>
                <w:color w:val="auto"/>
                <w:sz w:val="24"/>
                <w:highlight w:val="none"/>
              </w:rPr>
              <w:t xml:space="preserve">（</w:t>
            </w:r>
            <w:r>
              <w:rPr>
                <w:rFonts w:hint="eastAsia" w:ascii="宋体" w:hAnsi="宋体" w:eastAsia="宋体" w:cs="宋体"/>
                <w:iCs/>
                <w:color w:val="auto"/>
                <w:sz w:val="24"/>
                <w:highlight w:val="none"/>
                <w:lang w:val="en-US" w:eastAsia="zh-CN"/>
              </w:rPr>
              <w:t xml:space="preserve">4</w:t>
            </w:r>
            <w:r>
              <w:rPr>
                <w:rFonts w:hint="eastAsia" w:ascii="宋体" w:hAnsi="宋体" w:eastAsia="宋体" w:cs="宋体"/>
                <w:iCs/>
                <w:color w:val="auto"/>
                <w:sz w:val="24"/>
                <w:highlight w:val="none"/>
              </w:rPr>
              <w:t xml:space="preserve">）本次</w:t>
            </w:r>
            <w:r>
              <w:rPr>
                <w:rFonts w:hint="eastAsia" w:ascii="宋体" w:hAnsi="宋体" w:eastAsia="宋体" w:cs="宋体"/>
                <w:iCs/>
                <w:color w:val="auto"/>
                <w:sz w:val="24"/>
                <w:highlight w:val="none"/>
                <w:lang w:val="en-US" w:eastAsia="zh-CN"/>
              </w:rPr>
              <w:t xml:space="preserve">服务</w:t>
            </w:r>
            <w:r>
              <w:rPr>
                <w:rFonts w:hint="eastAsia" w:ascii="宋体" w:hAnsi="宋体" w:eastAsia="宋体" w:cs="宋体"/>
                <w:iCs/>
                <w:color w:val="auto"/>
                <w:sz w:val="24"/>
                <w:highlight w:val="none"/>
              </w:rPr>
              <w:t xml:space="preserve">包含软件平台，满足对</w:t>
            </w:r>
            <w:r>
              <w:rPr>
                <w:rFonts w:hint="eastAsia" w:ascii="宋体" w:hAnsi="宋体" w:eastAsia="宋体" w:cs="宋体"/>
                <w:iCs/>
                <w:color w:val="auto"/>
                <w:sz w:val="24"/>
                <w:highlight w:val="none"/>
                <w:lang w:val="en-US" w:eastAsia="zh-CN"/>
              </w:rPr>
              <w:t xml:space="preserve">SRv6</w:t>
            </w:r>
            <w:r>
              <w:rPr>
                <w:rFonts w:hint="eastAsia" w:ascii="宋体" w:hAnsi="宋体" w:eastAsia="宋体" w:cs="宋体"/>
                <w:iCs/>
                <w:color w:val="auto"/>
                <w:sz w:val="24"/>
                <w:highlight w:val="none"/>
              </w:rPr>
              <w:t xml:space="preserve">设备（</w:t>
            </w:r>
            <w:r>
              <w:rPr>
                <w:rFonts w:hint="eastAsia" w:ascii="宋体" w:hAnsi="宋体" w:eastAsia="宋体" w:cs="宋体"/>
                <w:color w:val="auto"/>
                <w:sz w:val="24"/>
                <w:highlight w:val="none"/>
              </w:rPr>
              <w:t xml:space="preserve">包含但不限于</w:t>
            </w:r>
            <w:r>
              <w:rPr>
                <w:rFonts w:hint="eastAsia" w:ascii="宋体" w:hAnsi="宋体" w:eastAsia="宋体" w:cs="宋体"/>
                <w:iCs/>
                <w:color w:val="auto"/>
                <w:sz w:val="24"/>
                <w:highlight w:val="none"/>
              </w:rPr>
              <w:t xml:space="preserve">路由器、防火墙</w:t>
            </w:r>
            <w:r>
              <w:rPr>
                <w:rFonts w:hint="eastAsia" w:ascii="宋体" w:hAnsi="宋体" w:eastAsia="宋体" w:cs="宋体"/>
                <w:iCs/>
                <w:color w:val="auto"/>
                <w:sz w:val="24"/>
                <w:highlight w:val="none"/>
                <w:lang w:val="en-US" w:eastAsia="zh-CN"/>
              </w:rPr>
              <w:t xml:space="preserve">等</w:t>
            </w:r>
            <w:r>
              <w:rPr>
                <w:rFonts w:hint="eastAsia" w:ascii="宋体" w:hAnsi="宋体" w:eastAsia="宋体" w:cs="宋体"/>
                <w:iCs/>
                <w:color w:val="auto"/>
                <w:sz w:val="24"/>
                <w:highlight w:val="none"/>
              </w:rPr>
              <w:t xml:space="preserve">）进行纳管并且包含</w:t>
            </w:r>
            <w:r>
              <w:rPr>
                <w:rFonts w:hint="eastAsia" w:ascii="宋体" w:hAnsi="宋体" w:eastAsia="宋体" w:cs="宋体"/>
                <w:iCs/>
                <w:color w:val="auto"/>
                <w:sz w:val="24"/>
                <w:highlight w:val="none"/>
                <w:lang w:val="en-US" w:eastAsia="zh-CN"/>
              </w:rPr>
              <w:t xml:space="preserve">SRv6</w:t>
            </w:r>
            <w:r>
              <w:rPr>
                <w:rFonts w:hint="eastAsia" w:ascii="宋体" w:hAnsi="宋体" w:eastAsia="宋体" w:cs="宋体"/>
                <w:iCs/>
                <w:color w:val="auto"/>
                <w:sz w:val="24"/>
                <w:highlight w:val="none"/>
              </w:rPr>
              <w:t xml:space="preserve">设备所需授权，如无法对</w:t>
            </w:r>
            <w:r>
              <w:rPr>
                <w:rFonts w:hint="eastAsia" w:ascii="宋体" w:hAnsi="宋体" w:eastAsia="宋体" w:cs="宋体"/>
                <w:iCs/>
                <w:color w:val="auto"/>
                <w:sz w:val="24"/>
                <w:highlight w:val="none"/>
                <w:lang w:val="en-US" w:eastAsia="zh-CN"/>
              </w:rPr>
              <w:t xml:space="preserve">SRv6</w:t>
            </w:r>
            <w:r>
              <w:rPr>
                <w:rFonts w:hint="eastAsia" w:ascii="宋体" w:hAnsi="宋体" w:eastAsia="宋体" w:cs="宋体"/>
                <w:iCs/>
                <w:color w:val="auto"/>
                <w:sz w:val="24"/>
                <w:highlight w:val="none"/>
              </w:rPr>
              <w:t xml:space="preserve">设备进行纳管需免费提供同性能可纳管的设备；</w:t>
            </w:r>
            <w:r>
              <w:rPr>
                <w:rFonts w:hint="eastAsia" w:ascii="宋体" w:hAnsi="宋体" w:eastAsia="宋体" w:cs="宋体"/>
                <w:b/>
                <w:bCs/>
                <w:iCs/>
                <w:color w:val="auto"/>
                <w:sz w:val="24"/>
                <w:highlight w:val="none"/>
              </w:rPr>
              <w:t xml:space="preserve">（提供承诺书加盖投标人电子签章，格式自拟，未提供的作无效投标处理）</w:t>
            </w:r>
            <w:r/>
          </w:p>
        </w:tc>
      </w:tr>
      <w:tr>
        <w:trPr>
          <w:jc w:val="center"/>
          <w:trHeight w:val="260"/>
        </w:trPr>
        <w:tc>
          <w:tcPr>
            <w:tcW w:w="883"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网络安全服务</w:t>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边界控制</w:t>
            </w:r>
            <w:r/>
          </w:p>
        </w:tc>
        <w:tc>
          <w:tcPr>
            <w:tcW w:w="6413"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（1）本</w:t>
            </w:r>
            <w:r>
              <w:rPr>
                <w:rFonts w:hint="eastAsia" w:ascii="宋体" w:hAnsi="宋体" w:eastAsia="宋体" w:cs="宋体"/>
                <w:color w:val="auto"/>
                <w:sz w:val="24"/>
                <w:highlight w:val="none"/>
                <w:lang w:val="en-US" w:eastAsia="zh-CN"/>
              </w:rPr>
              <w:t xml:space="preserve">服务所提供设备需满足防火墙相关技术和规格要求。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提供设备对接SDN控制器服务；</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（3）按照市城市数字治理中心的要求完成区安全设备、流量与市安管平台的对接。</w:t>
            </w:r>
            <w:r>
              <w:rPr>
                <w:rFonts w:hint="eastAsia" w:ascii="宋体" w:hAnsi="宋体" w:eastAsia="宋体" w:cs="宋体"/>
                <w:b/>
                <w:bCs/>
                <w:iCs/>
                <w:color w:val="auto"/>
                <w:sz w:val="24"/>
                <w:highlight w:val="none"/>
              </w:rPr>
              <w:t xml:space="preserve">（提供承诺书加盖投标人电子签章，格式自拟，未提供的作无效投标处理）</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满足防火墙旁挂部署要求，部署后不可影响政务外网业务。</w:t>
            </w:r>
            <w:r>
              <w:rPr>
                <w:rFonts w:hint="eastAsia" w:ascii="宋体" w:hAnsi="宋体" w:eastAsia="宋体" w:cs="宋体"/>
                <w:b/>
                <w:bCs/>
                <w:iCs/>
                <w:color w:val="auto"/>
                <w:sz w:val="24"/>
                <w:highlight w:val="none"/>
              </w:rPr>
              <w:t xml:space="preserve">（提供承诺书加盖投标人电子签章，格式自拟，未提供的作无效投标处理）</w:t>
            </w:r>
            <w:r/>
          </w:p>
        </w:tc>
      </w:tr>
      <w:tr>
        <w:trPr>
          <w:jc w:val="center"/>
          <w:trHeight w:val="774"/>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安全巡检</w:t>
            </w:r>
            <w:r/>
          </w:p>
        </w:tc>
        <w:tc>
          <w:tcPr>
            <w:tcW w:w="6413"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对鼓楼电子政务网络设备、服务器、操作系统、应用系统等进行周期性检查，定期交付相应的巡检报告及安全建议。</w:t>
            </w:r>
            <w:r/>
          </w:p>
        </w:tc>
      </w:tr>
      <w:tr>
        <w:trPr>
          <w:jc w:val="center"/>
          <w:trHeight w:val="931"/>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网络安全检测</w:t>
            </w:r>
            <w:r/>
          </w:p>
        </w:tc>
        <w:tc>
          <w:tcPr>
            <w:tcW w:w="641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对鼓楼电子政务网络中的网络架构隔离状况，安全设备配置、终端与服务器安全设置合规状态、应用系统身份验证状态等内容进行网络安全检测，交付《安全检测服务报告》。</w:t>
            </w:r>
            <w:r/>
          </w:p>
        </w:tc>
      </w:tr>
      <w:tr>
        <w:trPr>
          <w:jc w:val="center"/>
          <w:trHeight w:val="428"/>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安全通告</w:t>
            </w:r>
            <w:r/>
          </w:p>
        </w:tc>
        <w:tc>
          <w:tcPr>
            <w:tcW w:w="641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与鼓楼电子政务网络构建信息同步机制，实时传递市级到国家级行业信息、网络安全事件及问题。打破信息壁垒，帮助其应急准备与隐患排查，以邮件、电话、短信等实现服务交付。</w:t>
            </w:r>
            <w:r/>
          </w:p>
        </w:tc>
      </w:tr>
      <w:tr>
        <w:trPr>
          <w:jc w:val="center"/>
          <w:trHeight w:val="1048"/>
        </w:trPr>
        <w:tc>
          <w:tcPr>
            <w:tcW w:w="883" w:type="dxa"/>
            <w:vAlign w:val="center"/>
            <w:vMerge w:val="continue"/>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625"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shd w:val="clear" w:color="auto" w:fill="auto"/>
            <w:tcW w:w="119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网络安全运维咨询</w:t>
            </w:r>
            <w:r/>
          </w:p>
        </w:tc>
        <w:tc>
          <w:tcPr>
            <w:shd w:val="clear" w:color="auto" w:fill="auto"/>
            <w:tcW w:w="641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当鼓楼电子政务网络的系统出现异常、发生</w:t>
            </w:r>
            <w:r>
              <w:rPr>
                <w:rFonts w:hint="eastAsia" w:ascii="宋体" w:hAnsi="宋体" w:eastAsia="宋体" w:cs="宋体"/>
                <w:color w:val="auto"/>
                <w:sz w:val="24"/>
                <w:highlight w:val="none"/>
                <w:lang w:eastAsia="zh-CN"/>
              </w:rPr>
              <w:t xml:space="preserve">病毒暴发</w:t>
            </w:r>
            <w:r>
              <w:rPr>
                <w:rFonts w:hint="eastAsia" w:ascii="宋体" w:hAnsi="宋体" w:eastAsia="宋体" w:cs="宋体"/>
                <w:color w:val="auto"/>
                <w:sz w:val="24"/>
                <w:highlight w:val="none"/>
              </w:rPr>
              <w:t xml:space="preserve">事件或重大安全事件时，提供技术解决方式及系统加固建议。</w:t>
            </w:r>
            <w:r/>
          </w:p>
        </w:tc>
      </w:tr>
      <w:tr>
        <w:trPr>
          <w:jc w:val="center"/>
          <w:trHeight w:val="884"/>
        </w:trPr>
        <w:tc>
          <w:tcPr>
            <w:tcW w:w="883"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实施服务</w:t>
            </w:r>
            <w:r/>
          </w:p>
        </w:tc>
        <w:tc>
          <w:tcPr>
            <w:shd w:val="clear" w:color="auto" w:fill="auto"/>
            <w:tcW w:w="62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10</w:t>
            </w:r>
            <w:r/>
          </w:p>
        </w:tc>
        <w:tc>
          <w:tcPr>
            <w:shd w:val="clear" w:color="auto" w:fill="auto"/>
            <w:tcW w:w="1198" w:type="dxa"/>
            <w:vAlign w:val="center"/>
            <w:textDirection w:val="lrTb"/>
            <w:noWrap w:val="false"/>
          </w:tcPr>
          <w:p>
            <w:pPr>
              <w:jc w:val="both"/>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实施要求</w:t>
            </w:r>
            <w:r/>
          </w:p>
        </w:tc>
        <w:tc>
          <w:tcPr>
            <w:shd w:val="clear" w:color="auto" w:fill="auto"/>
            <w:tcW w:w="641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实施</w:t>
            </w:r>
            <w:r>
              <w:rPr>
                <w:rFonts w:hint="eastAsia" w:ascii="宋体" w:hAnsi="宋体" w:eastAsia="宋体" w:cs="宋体"/>
                <w:color w:val="auto"/>
                <w:sz w:val="24"/>
                <w:highlight w:val="none"/>
              </w:rPr>
              <w:t xml:space="preserve">内容包含但不限于：原有线路整理、网络线槽敷设（包含开槽等）、新</w:t>
            </w:r>
            <w:r>
              <w:rPr>
                <w:rFonts w:hint="eastAsia" w:ascii="宋体" w:hAnsi="宋体" w:eastAsia="宋体" w:cs="宋体"/>
                <w:color w:val="auto"/>
                <w:sz w:val="24"/>
                <w:highlight w:val="none"/>
                <w:lang w:val="en-US" w:eastAsia="zh-CN"/>
              </w:rPr>
              <w:t xml:space="preserve">增路由器</w:t>
            </w:r>
            <w:r>
              <w:rPr>
                <w:rFonts w:hint="eastAsia" w:ascii="宋体" w:hAnsi="宋体" w:eastAsia="宋体" w:cs="宋体"/>
                <w:color w:val="auto"/>
                <w:sz w:val="24"/>
                <w:highlight w:val="none"/>
              </w:rPr>
              <w:t xml:space="preserve">安装及调试（</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安装位置需满足使用要求且保持美观性）、网络设备及IP地址分配调试。</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按照市城市数字中心的技术标准，原部署运行中的网络割接至新的SDN网络架构中。</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（3）协助完成鼓楼区各专网并入政务外网工作。</w:t>
            </w:r>
            <w:r/>
          </w:p>
        </w:tc>
      </w:tr>
    </w:tbl>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（二）服务设备</w:t>
      </w:r>
      <w:r>
        <w:rPr>
          <w:rFonts w:hint="eastAsia" w:ascii="宋体" w:hAnsi="宋体" w:eastAsia="宋体" w:cs="宋体"/>
          <w:color w:val="auto"/>
          <w:sz w:val="24"/>
          <w:highlight w:val="none"/>
          <w:lang w:val="en-US" w:eastAsia="zh-CN"/>
        </w:rPr>
        <w:t xml:space="preserve">要求</w:t>
      </w:r>
      <w:r/>
    </w:p>
    <w:tbl>
      <w:tblPr>
        <w:tblStyle w:val="707"/>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76"/>
        <w:gridCol w:w="1275"/>
        <w:gridCol w:w="5529"/>
      </w:tblGrid>
      <w:tr>
        <w:trPr>
          <w:jc w:val="center"/>
          <w:tblHeader/>
        </w:trPr>
        <w:tc>
          <w:tcPr>
            <w:shd w:val="clear" w:color="auto" w:fill="ffffff" w:themeFill="background1"/>
            <w:tcW w:w="84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bookmarkStart w:id="258" w:name="OLE_LINK51"/>
            <w:r/>
            <w:bookmarkStart w:id="259" w:name="OLE_LINK50"/>
            <w:r>
              <w:rPr>
                <w:rFonts w:hint="eastAsia" w:ascii="宋体" w:hAnsi="宋体" w:eastAsia="宋体" w:cs="宋体"/>
                <w:b/>
                <w:bCs/>
                <w:color w:val="auto"/>
                <w:sz w:val="24"/>
                <w:szCs w:val="24"/>
                <w:highlight w:val="none"/>
                <w:lang w:val="en-US" w:eastAsia="zh-CN" w:bidi="ar-SA"/>
              </w:rPr>
              <w:t xml:space="preserve">序号</w:t>
            </w:r>
            <w:r/>
          </w:p>
        </w:tc>
        <w:tc>
          <w:tcPr>
            <w:shd w:val="clear" w:color="auto" w:fill="ffffff" w:themeFill="background1"/>
            <w:tcW w:w="1276"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产品名称</w:t>
            </w:r>
            <w:r/>
          </w:p>
        </w:tc>
        <w:tc>
          <w:tcPr>
            <w:shd w:val="clear" w:color="auto" w:fill="ffffff" w:themeFill="background1"/>
            <w:tcW w:w="1275"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指标项</w:t>
            </w:r>
            <w:r/>
          </w:p>
        </w:tc>
        <w:tc>
          <w:tcPr>
            <w:shd w:val="clear" w:color="auto" w:fill="ffffff" w:themeFill="background1"/>
            <w:tcW w:w="5529"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指标要求</w:t>
            </w:r>
            <w:r/>
          </w:p>
        </w:tc>
      </w:tr>
      <w:tr>
        <w:trPr>
          <w:jc w:val="center"/>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SRv6核心路由器</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（1）支持</w:t>
            </w:r>
            <w:r>
              <w:rPr>
                <w:rFonts w:hint="eastAsia" w:ascii="宋体" w:hAnsi="宋体" w:eastAsia="宋体" w:cs="宋体"/>
                <w:color w:val="auto"/>
                <w:sz w:val="24"/>
                <w:highlight w:val="none"/>
              </w:rPr>
              <w:t xml:space="preserve">SRv6</w:t>
            </w:r>
            <w:r>
              <w:rPr>
                <w:rFonts w:hint="eastAsia" w:ascii="宋体" w:hAnsi="宋体" w:eastAsia="宋体" w:cs="宋体"/>
                <w:color w:val="auto"/>
                <w:sz w:val="24"/>
                <w:highlight w:val="none"/>
                <w:lang w:val="en-US" w:eastAsia="zh-CN"/>
              </w:rPr>
              <w:t xml:space="preserve">协议</w:t>
            </w:r>
            <w:r>
              <w:rPr>
                <w:rFonts w:hint="eastAsia" w:ascii="宋体" w:hAnsi="宋体" w:eastAsia="宋体" w:cs="宋体"/>
                <w:color w:val="auto"/>
                <w:sz w:val="24"/>
                <w:highlight w:val="none"/>
                <w:lang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支持SRv6 TE policy，以实现设备基本运维能力，提供具有CNAS/CMA认证的第三方测试报告截图证明；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支持网络硬切片能力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支持硬切片的SDN自动化管理功能，提供具有CNAS/CMA认证的第三方测试报告截图证明；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支持静态路由、策略路由、RIP、OSPF、BGP、ISIS等路由协议；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支持Telemetry，可实现从设备高速采集数据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支持随业务流实时检测；精准定位到故障点，丢包、误码类故障，确保业务性能；</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满足国产化自主可控要求，</w:t>
            </w:r>
            <w:r>
              <w:rPr>
                <w:rFonts w:hint="eastAsia" w:ascii="宋体" w:hAnsi="宋体" w:eastAsia="宋体" w:cs="宋体"/>
                <w:color w:val="auto"/>
                <w:sz w:val="24"/>
                <w:highlight w:val="none"/>
              </w:rPr>
              <w:t xml:space="preserve">设备关键芯片（主控CPU芯片、NP转发及交换接入矩阵芯片）采用自研国产化芯片，提供具有CNAS/CMA认证的第三方测试报告截图证明；</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接入数量≥2套。交换容量≥200Tbps，转发性能≥50000Mpps，</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0G光端口≥2，万兆光端口≥20；</w:t>
            </w:r>
            <w:r>
              <w:rPr>
                <w:rFonts w:hint="eastAsia" w:ascii="宋体" w:hAnsi="宋体" w:eastAsia="宋体" w:cs="宋体"/>
                <w:color w:val="auto"/>
                <w:sz w:val="24"/>
                <w:highlight w:val="none"/>
                <w:lang w:val="en-US" w:eastAsia="zh-CN"/>
              </w:rPr>
              <w:t xml:space="preserve">冗余电源；</w:t>
            </w:r>
            <w:r/>
          </w:p>
        </w:tc>
      </w:tr>
      <w:tr>
        <w:trPr>
          <w:jc w:val="center"/>
          <w:trHeight w:val="90"/>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院外单位SRv6汇聚路由器</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vAlign w:val="top"/>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（1）支持</w:t>
            </w:r>
            <w:r>
              <w:rPr>
                <w:rFonts w:hint="eastAsia" w:ascii="宋体" w:hAnsi="宋体" w:eastAsia="宋体" w:cs="宋体"/>
                <w:color w:val="auto"/>
                <w:sz w:val="24"/>
                <w:highlight w:val="none"/>
              </w:rPr>
              <w:t xml:space="preserve">SRv6</w:t>
            </w:r>
            <w:r>
              <w:rPr>
                <w:rFonts w:hint="eastAsia" w:ascii="宋体" w:hAnsi="宋体" w:eastAsia="宋体" w:cs="宋体"/>
                <w:color w:val="auto"/>
                <w:sz w:val="24"/>
                <w:highlight w:val="none"/>
                <w:lang w:val="en-US" w:eastAsia="zh-CN"/>
              </w:rPr>
              <w:t xml:space="preserve">协议</w:t>
            </w:r>
            <w:r>
              <w:rPr>
                <w:rFonts w:hint="eastAsia" w:ascii="宋体" w:hAnsi="宋体" w:eastAsia="宋体" w:cs="宋体"/>
                <w:color w:val="auto"/>
                <w:sz w:val="24"/>
                <w:highlight w:val="none"/>
                <w:lang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支持SRv6 TE policy，以实现设备基本运维能力，提供具有CNAS/CMA认证的第三方测试报告截图证明；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支持硬切片间的流量调优功能、自由调整切片所经物理链路、硬切片在线带宽弹性扩容且业务不丢包，提供具有CNAS/CMA认证的第三方测试报告截图证明；</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）支持静态路由、策略路由、RIP、OSPF、BGP、ISIS等路由协议；</w:t>
            </w:r>
            <w:r/>
          </w:p>
          <w:p>
            <w:pPr>
              <w:jc w:val="lef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(5)支持10GE端口支持网络硬切片、支持在硬切片中再划分子切片，提供具有 CNAS/CMA认证的第三方测试报告截图证明;</w:t>
            </w:r>
            <w:r/>
          </w:p>
          <w:p>
            <w:pPr>
              <w:numPr>
                <w:ilvl w:val="0"/>
                <w:numId w:val="0"/>
              </w:num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)设备关键芯片（主控CPU芯片、NP转发及交换接入矩阵芯片）采用自研国产化芯片，提供具有CNAS/CMA认证的第三方测试报告截图证明；</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vAlign w:val="top"/>
            <w:textDirection w:val="lrTb"/>
            <w:noWrap w:val="false"/>
          </w:tcPr>
          <w:p>
            <w:pPr>
              <w:numPr>
                <w:ilvl w:val="0"/>
                <w:numId w:val="0"/>
              </w:num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包含但不限于：接入数量≥1套。交换容量≥400Tbps，转发性能≥100000Mpps，千兆光端口≥90，万兆光端口≥10；冗余电源；</w:t>
            </w:r>
            <w:r/>
          </w:p>
        </w:tc>
      </w:tr>
      <w:tr>
        <w:trPr>
          <w:jc w:val="center"/>
          <w:trHeight w:val="90"/>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集中办公点SRv6汇聚路由器</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vAlign w:val="top"/>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（1）支持</w:t>
            </w:r>
            <w:r>
              <w:rPr>
                <w:rFonts w:hint="eastAsia" w:ascii="宋体" w:hAnsi="宋体" w:eastAsia="宋体" w:cs="宋体"/>
                <w:color w:val="auto"/>
                <w:sz w:val="24"/>
                <w:highlight w:val="none"/>
              </w:rPr>
              <w:t xml:space="preserve">SRv6</w:t>
            </w:r>
            <w:r>
              <w:rPr>
                <w:rFonts w:hint="eastAsia" w:ascii="宋体" w:hAnsi="宋体" w:eastAsia="宋体" w:cs="宋体"/>
                <w:color w:val="auto"/>
                <w:sz w:val="24"/>
                <w:highlight w:val="none"/>
                <w:lang w:val="en-US" w:eastAsia="zh-CN"/>
              </w:rPr>
              <w:t xml:space="preserve">协议</w:t>
            </w:r>
            <w:r>
              <w:rPr>
                <w:rFonts w:hint="eastAsia" w:ascii="宋体" w:hAnsi="宋体" w:eastAsia="宋体" w:cs="宋体"/>
                <w:color w:val="auto"/>
                <w:sz w:val="24"/>
                <w:highlight w:val="none"/>
                <w:lang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支持SRv6 TE policy，以实现设备基本运维能力，提供具有CNAS/CMA认证的第三方测试报告截图证明；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支持硬切片间的流量调优功能、自由调整切片所经物理链路、硬切片在线带宽弹性扩容且业务不丢包，提供具有CNAS/CMA认证的第三方测试报告截图证明；</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）支持静态路由、策略路由、RIP、OSPF、BGP、ISIS等路由协议；</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color w:val="auto"/>
                <w:sz w:val="24"/>
                <w:highlight w:val="none"/>
              </w:rPr>
              <w:t xml:space="preserve">满足国产化自主可控要求，</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关键芯片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主控CPU芯片、NP转发及交换接入矩阵芯片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自研</w:t>
            </w:r>
            <w:r>
              <w:rPr>
                <w:rFonts w:hint="eastAsia" w:ascii="宋体" w:hAnsi="宋体" w:eastAsia="宋体" w:cs="宋体"/>
                <w:color w:val="auto"/>
                <w:sz w:val="24"/>
                <w:highlight w:val="none"/>
              </w:rPr>
              <w:t xml:space="preserve">国产化芯片，提供具有CNAS/CMA认证的第三方测试报告截图证明；</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vAlign w:val="top"/>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接入数量≥3套，交换容量≥500Gbps，转发性能≥400Mpps。千兆光端口≥8，千兆电端口≥8，万兆光端口≥2</w:t>
            </w:r>
            <w:r/>
          </w:p>
        </w:tc>
      </w:tr>
      <w:tr>
        <w:trPr>
          <w:jc w:val="center"/>
          <w:trHeight w:val="90"/>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院外单位SRv6接入路由器</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vAlign w:val="top"/>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（1）支持</w:t>
            </w:r>
            <w:r>
              <w:rPr>
                <w:rFonts w:hint="eastAsia" w:ascii="宋体" w:hAnsi="宋体" w:eastAsia="宋体" w:cs="宋体"/>
                <w:color w:val="auto"/>
                <w:sz w:val="24"/>
                <w:highlight w:val="none"/>
              </w:rPr>
              <w:t xml:space="preserve">SRv6</w:t>
            </w:r>
            <w:r>
              <w:rPr>
                <w:rFonts w:hint="eastAsia" w:ascii="宋体" w:hAnsi="宋体" w:eastAsia="宋体" w:cs="宋体"/>
                <w:color w:val="auto"/>
                <w:sz w:val="24"/>
                <w:highlight w:val="none"/>
                <w:lang w:val="en-US" w:eastAsia="zh-CN"/>
              </w:rPr>
              <w:t xml:space="preserve">协议</w:t>
            </w:r>
            <w:r>
              <w:rPr>
                <w:rFonts w:hint="eastAsia" w:ascii="宋体" w:hAnsi="宋体" w:eastAsia="宋体" w:cs="宋体"/>
                <w:color w:val="auto"/>
                <w:sz w:val="24"/>
                <w:highlight w:val="none"/>
                <w:lang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支持SRv6 TE policy，以实现设备基本运维能力，提供具有CNAS/CMA认证的第三方测试报告截图证明；</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支持硬切片间的流量调优功能、自由调整切片所经物理链路、硬切片在线带宽弹性扩容且业务不丢包，提供具有CNAS/CMA认证的第三方测试报告截图证明；</w:t>
            </w:r>
            <w:r/>
          </w:p>
          <w:p>
            <w:pPr>
              <w:jc w:val="lef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）支持静态路由、策略路由、RIP、OSPF、BGP、ISIS等路由协议；</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w:t>
            </w:r>
            <w:r>
              <w:rPr>
                <w:rFonts w:hint="eastAsia" w:ascii="宋体" w:hAnsi="宋体" w:cs="宋体"/>
                <w:color w:val="auto"/>
                <w:sz w:val="24"/>
                <w:highlight w:val="none"/>
                <w:lang w:val="en-US" w:eastAsia="zh-CN"/>
              </w:rPr>
              <w:t xml:space="preserve">满足国产化自主可控要求，设备关键芯片(主控CPU芯片)采用自研国产化芯片，提供具有CNASCMA认证的第三方测试报告截图证明</w:t>
            </w:r>
            <w:bookmarkStart w:id="357" w:name="_GoBack"/>
            <w:r/>
            <w:bookmarkEnd w:id="357"/>
            <w:r>
              <w:rPr>
                <w:rFonts w:hint="eastAsia" w:ascii="宋体" w:hAnsi="宋体" w:eastAsia="宋体" w:cs="宋体"/>
                <w:color w:val="auto"/>
                <w:sz w:val="24"/>
                <w:highlight w:val="none"/>
              </w:rPr>
              <w:t xml:space="preserve">；</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vAlign w:val="top"/>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接入数量≥</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套，交换容量≥2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0Gbps，包转发率≥256Mpps；千兆光端口≥6个，千兆电端口≥8个；</w:t>
            </w:r>
            <w:r/>
          </w:p>
        </w:tc>
      </w:tr>
      <w:tr>
        <w:trPr>
          <w:jc w:val="center"/>
          <w:trHeight w:val="90"/>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SDN控制器</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vAlign w:val="top"/>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（1）支持管理不少于3000个网络设备，支持管理和创建SRv6 Policy数量不少于30000，提供商用产品功能截图；</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支持在统一入口界面上对业务集中监控，集中展示包括业务分层路径拓扑，业务相关资源的状态集中呈现，告警与业务自动关联；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支持单站点或集群方式部署，所有形态需支持异地灾备部署，主系统出现故障后自动切换到远端备份系统；</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）支持通过IP地址段自动发现设备，支持自动收集整网拓扑信息，拓扑中展示链路属性（链路端口、网元、链路状态）；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具备切片全生命周期管理，包括切片规划部署，切片分配入指定业务，切片上业务路径调整，SRv6 Policy路径在切片间灵活调整，切片扩缩容。</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支持路径调优，基于网络时延、丢包、拥塞等指标变化情况，能够自动或手动对路径进行重新优化计算，触发路径优化计算的阈值和条件要求可以自定义组合设置，并提供商用产品操作截图；</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（7）支持切片业务还原，将网元上的切片或切片链路配置还原到SDN控制器，后续通过控制器实现网络切片端到端的管理，并提供商用产品操作截图，提供商用产品功能截图；</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支持业务质量随流检测，质差场景下检测模式由端到端自动切换到逐跳，并上报质差告警，可以分钟级呈现逐跳路径和质差节点/链路，显示丢包、时延及抖动指标，支持7*24小时历史路径及质量回溯，提供商用产品功能截图；</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满足国产化自主可控要求，所有关键核心芯片须采用国产化芯片，提供具有CNAS/CMA认证的第三方测试报告截图证明；</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支持SRv6 Policy业务级发放，可通过自定义隧道参数模板、隧道组规划创建、文件导入等多种方式简化部署，支持显示业务路径信息和路径拓扑，支持对业务进行诊断；</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vAlign w:val="top"/>
            <w:textDirection w:val="lrTb"/>
            <w:noWrap w:val="false"/>
          </w:tcPr>
          <w:p>
            <w:pPr>
              <w:ind w:left="0" w:right="0" w:firstLine="0"/>
              <w:jc w:val="both"/>
              <w:spacing w:before="0" w:after="0"/>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配置软件平台，新增防火墙、路由器管理授权，切片、SRv6功能授权，含硬件服务器</w:t>
            </w:r>
            <w:r>
              <w:rPr>
                <w:rFonts w:hint="eastAsia" w:ascii="宋体" w:hAnsi="宋体" w:eastAsia="宋体" w:cs="宋体"/>
                <w:color w:val="auto"/>
                <w:sz w:val="24"/>
                <w:highlight w:val="none"/>
                <w:lang w:eastAsia="zh-CN"/>
              </w:rPr>
              <w:t xml:space="preserve">；</w:t>
            </w:r>
            <w:r/>
          </w:p>
          <w:p>
            <w:pPr>
              <w:ind w:left="0" w:right="0" w:firstLine="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实配：用于部署SDN控制的</w:t>
            </w:r>
            <w:r>
              <w:rPr>
                <w:rFonts w:hint="eastAsia" w:ascii="宋体" w:hAnsi="宋体" w:eastAsia="宋体" w:cs="宋体"/>
                <w:color w:val="auto"/>
                <w:sz w:val="24"/>
                <w:highlight w:val="none"/>
              </w:rPr>
              <w:t xml:space="preserve">服务器</w:t>
            </w:r>
            <w:r>
              <w:rPr>
                <w:rFonts w:hint="eastAsia" w:ascii="宋体" w:hAnsi="宋体" w:eastAsia="宋体" w:cs="宋体"/>
                <w:color w:val="auto"/>
                <w:sz w:val="24"/>
                <w:highlight w:val="none"/>
                <w:lang w:val="en-US" w:eastAsia="zh-CN"/>
              </w:rPr>
              <w:t xml:space="preserve">一台，</w:t>
            </w:r>
            <w:r>
              <w:rPr>
                <w:rFonts w:hint="eastAsia" w:ascii="宋体" w:hAnsi="宋体" w:eastAsia="宋体" w:cs="宋体"/>
                <w:color w:val="auto"/>
                <w:sz w:val="24"/>
                <w:highlight w:val="none"/>
              </w:rPr>
              <w:t xml:space="preserve">配置要求CPU总核数≥128，CPU主频≥2.6GHZ，内存≥512G，硬盘容量≥15T，</w:t>
            </w:r>
            <w:r>
              <w:rPr>
                <w:rFonts w:hint="eastAsia" w:ascii="宋体" w:hAnsi="宋体" w:eastAsia="宋体" w:cs="宋体"/>
                <w:color w:val="auto"/>
                <w:sz w:val="24"/>
                <w:highlight w:val="none"/>
                <w:lang w:val="en-US" w:eastAsia="zh-CN"/>
              </w:rPr>
              <w:t xml:space="preserve">千兆</w:t>
            </w:r>
            <w:r>
              <w:rPr>
                <w:rFonts w:hint="eastAsia" w:ascii="宋体" w:hAnsi="宋体" w:eastAsia="宋体" w:cs="宋体"/>
                <w:color w:val="auto"/>
                <w:sz w:val="24"/>
                <w:highlight w:val="none"/>
              </w:rPr>
              <w:t xml:space="preserve">电口≥8个，</w:t>
            </w:r>
            <w:r>
              <w:rPr>
                <w:rFonts w:hint="eastAsia" w:ascii="宋体" w:hAnsi="宋体" w:eastAsia="宋体" w:cs="宋体"/>
                <w:color w:val="auto"/>
                <w:sz w:val="24"/>
                <w:highlight w:val="none"/>
                <w:lang w:val="en-US" w:eastAsia="zh-CN"/>
              </w:rPr>
              <w:t xml:space="preserve">万兆</w:t>
            </w:r>
            <w:r>
              <w:rPr>
                <w:rFonts w:hint="eastAsia" w:ascii="宋体" w:hAnsi="宋体" w:eastAsia="宋体" w:cs="宋体"/>
                <w:color w:val="auto"/>
                <w:sz w:val="24"/>
                <w:highlight w:val="none"/>
              </w:rPr>
              <w:t xml:space="preserve">光口≥4个，冗余电源；</w:t>
            </w:r>
            <w:r>
              <w:rPr>
                <w:rFonts w:hint="eastAsia" w:ascii="宋体" w:hAnsi="宋体" w:eastAsia="宋体" w:cs="宋体"/>
                <w:b/>
                <w:bCs/>
                <w:iCs/>
                <w:color w:val="auto"/>
                <w:sz w:val="24"/>
                <w:highlight w:val="none"/>
              </w:rPr>
              <w:t xml:space="preserve">（提供承诺书加盖投标人电子签章，格式自拟，未提供的作无效投标处理）</w:t>
            </w:r>
            <w:r/>
          </w:p>
        </w:tc>
      </w:tr>
      <w:tr>
        <w:trPr>
          <w:jc w:val="center"/>
          <w:trHeight w:val="90"/>
        </w:trPr>
        <w:tc>
          <w:tcPr>
            <w:tcW w:w="84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c>
          <w:tcPr>
            <w:tcW w:w="1276" w:type="dxa"/>
            <w:vAlign w:val="center"/>
            <w:vMerge w:val="restart"/>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防火墙</w:t>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技术要求</w:t>
            </w:r>
            <w:r/>
          </w:p>
        </w:tc>
        <w:tc>
          <w:tcPr>
            <w:tcW w:w="5529" w:type="dxa"/>
            <w:vAlign w:val="top"/>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支持SRv6协议</w:t>
            </w:r>
            <w:r>
              <w:rPr>
                <w:rFonts w:hint="eastAsia" w:ascii="宋体" w:hAnsi="宋体" w:eastAsia="宋体" w:cs="宋体"/>
                <w:color w:val="auto"/>
                <w:sz w:val="24"/>
                <w:highlight w:val="none"/>
                <w:lang w:eastAsia="zh-CN"/>
              </w:rPr>
              <w:t xml:space="preserve">。</w:t>
            </w:r>
            <w:r>
              <w:rPr>
                <w:rFonts w:hint="eastAsia" w:ascii="宋体" w:hAnsi="宋体" w:eastAsia="宋体" w:cs="宋体"/>
                <w:b/>
                <w:bCs/>
                <w:iCs/>
                <w:color w:val="auto"/>
                <w:sz w:val="24"/>
                <w:highlight w:val="none"/>
              </w:rPr>
              <w:t xml:space="preserve">（提供承诺书加盖投标人电子签章，格式自拟，未提供的作无效投标处理）</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支持一条安全策略中同时配置ipv4和ipv6地址</w:t>
            </w:r>
            <w:r>
              <w:rPr>
                <w:rFonts w:hint="eastAsia" w:ascii="宋体" w:hAnsi="宋体" w:eastAsia="宋体" w:cs="宋体"/>
                <w:color w:val="auto"/>
                <w:sz w:val="24"/>
                <w:highlight w:val="none"/>
                <w:lang w:eastAsia="zh-CN"/>
              </w:rPr>
              <w:t xml:space="preserve">，提供具有CNAS或CMA标识的第三方检测报告截图证明；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产品支持路由、透明、交换以及混合模式接入，满足复杂应用环境的接入需求。支持旁路模式；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支持基于源IP/目的IP，MAC地址，服务类型，应用类型，安全域，时间段进行安全策略规则的配置。</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可根据目的地址智能优选运营商链路，支持主备接口配置以及按比例分配的负载分担方式。</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支持对接SDN控制器上报业务、Syslog等日志；</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满足国产化自主可控要求，所有关键核心芯片须采用国产化芯片，提供具有CNAS/CMA认证的第三方测试报告截图证明；</w:t>
            </w:r>
            <w:r/>
          </w:p>
        </w:tc>
      </w:tr>
      <w:tr>
        <w:trPr>
          <w:jc w:val="center"/>
          <w:trHeight w:val="90"/>
        </w:trPr>
        <w:tc>
          <w:tcPr>
            <w:tcW w:w="84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6" w:type="dxa"/>
            <w:vAlign w:val="center"/>
            <w:vMerge w:val="continue"/>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275"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规格要求</w:t>
            </w:r>
            <w:r/>
          </w:p>
        </w:tc>
        <w:tc>
          <w:tcPr>
            <w:tcW w:w="5529" w:type="dxa"/>
            <w:vAlign w:val="top"/>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包含但不限于：</w:t>
            </w:r>
            <w:r>
              <w:rPr>
                <w:rFonts w:hint="eastAsia" w:ascii="宋体" w:hAnsi="宋体" w:eastAsia="宋体" w:cs="宋体"/>
                <w:color w:val="auto"/>
                <w:sz w:val="24"/>
                <w:highlight w:val="none"/>
              </w:rPr>
              <w:t xml:space="preserve">本次配置≥1套。万兆端口≥6，千兆光端口≥4，千兆电端口≥4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吞吐量≥</w:t>
            </w:r>
            <w:r>
              <w:rPr>
                <w:rFonts w:hint="eastAsia" w:ascii="宋体" w:hAnsi="宋体" w:eastAsia="宋体" w:cs="宋体"/>
                <w:color w:val="auto"/>
                <w:sz w:val="24"/>
                <w:highlight w:val="none"/>
              </w:rPr>
              <w:t xml:space="preserve">25Gbps</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最大并发≥1000万，每秒新建连接≥25万</w:t>
            </w:r>
            <w:r>
              <w:rPr>
                <w:rFonts w:hint="eastAsia" w:ascii="宋体" w:hAnsi="宋体" w:eastAsia="宋体" w:cs="宋体"/>
                <w:color w:val="auto"/>
                <w:sz w:val="24"/>
                <w:highlight w:val="none"/>
                <w:lang w:eastAsia="zh-CN"/>
              </w:rPr>
              <w:t xml:space="preserve">；</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实配：</w:t>
            </w:r>
            <w:r>
              <w:rPr>
                <w:rFonts w:hint="eastAsia" w:ascii="宋体" w:hAnsi="宋体" w:eastAsia="宋体" w:cs="宋体"/>
                <w:color w:val="auto"/>
                <w:sz w:val="24"/>
                <w:highlight w:val="none"/>
                <w:lang w:val="en-US" w:eastAsia="zh-CN"/>
              </w:rPr>
              <w:t xml:space="preserve">提供质保期内的</w:t>
            </w:r>
            <w:r>
              <w:rPr>
                <w:rFonts w:hint="eastAsia" w:ascii="宋体" w:hAnsi="宋体" w:eastAsia="宋体" w:cs="宋体"/>
                <w:color w:val="auto"/>
                <w:sz w:val="24"/>
                <w:highlight w:val="none"/>
              </w:rPr>
              <w:t xml:space="preserve">IPS、URL、Web防护、防病毒特征库升级服务。</w:t>
            </w:r>
            <w:bookmarkEnd w:id="258"/>
            <w:r/>
            <w:bookmarkEnd w:id="259"/>
            <w:r/>
            <w:r/>
          </w:p>
        </w:tc>
      </w:tr>
    </w:tbl>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（三）服务团队要求</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207"/>
        <w:gridCol w:w="4411"/>
        <w:gridCol w:w="1982"/>
      </w:tblGrid>
      <w:tr>
        <w:trPr>
          <w:cantSplit/>
          <w:jc w:val="center"/>
          <w:trHeight w:val="296"/>
          <w:tblHeader/>
        </w:trPr>
        <w:tc>
          <w:tcPr>
            <w:shd w:val="clear" w:color="auto" w:fill="auto"/>
            <w:tcW w:w="758"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shd w:val="clear" w:color="auto" w:fill="auto"/>
            <w:tcW w:w="1207"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岗位</w:t>
            </w:r>
            <w:r/>
          </w:p>
        </w:tc>
        <w:tc>
          <w:tcPr>
            <w:shd w:val="clear" w:color="auto" w:fill="auto"/>
            <w:tcW w:w="4411"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职责</w:t>
            </w:r>
            <w:r/>
          </w:p>
        </w:tc>
        <w:tc>
          <w:tcPr>
            <w:shd w:val="clear" w:color="auto" w:fill="auto"/>
            <w:tcW w:w="1982"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人员要求</w:t>
            </w:r>
            <w:r/>
          </w:p>
        </w:tc>
      </w:tr>
      <w:tr>
        <w:trPr>
          <w:cantSplit/>
          <w:jc w:val="center"/>
          <w:trHeight w:val="6603"/>
          <w:tblHeader/>
        </w:trPr>
        <w:tc>
          <w:tcPr>
            <w:shd w:val="clear" w:color="auto" w:fill="auto"/>
            <w:tcW w:w="758"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shd w:val="clear" w:color="auto" w:fill="auto"/>
            <w:tcW w:w="1207"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项目经理（1人）</w:t>
            </w:r>
            <w:r/>
          </w:p>
        </w:tc>
        <w:tc>
          <w:tcPr>
            <w:shd w:val="clear" w:color="auto" w:fill="auto"/>
            <w:tcW w:w="4411"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（1）项目全周期管理：全面负责项目的计划、组织、指挥、协调与控制，确保项目按期、按质、按预算交付。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（2）沟通协调：作为项目对外的第一责任人，负责与采购人、上级主管部门及其他相关方的沟通与协调。</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（3）资源统筹：合理配置项目人力、物力、财力资源，确保项目资源高效利用。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（4）风险管理：识别项目执行过程中的各类风险，制定应对措施，确保项目顺利推进。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（5）进度控制：制定详细的项目实施计划，监督项目各阶段进度，及时调整偏差。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（6）质量与安全：落实项目质量管理体系，确保施工安全、文明施工，杜绝安全事故。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（7）验收与交付：组织项目各阶段验收工作，确保项目最终通过采购人验收并完成交付。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（8）文档管理：负责项目全过程文档的整理、归档与移交。</w:t>
            </w:r>
            <w:r/>
          </w:p>
        </w:tc>
        <w:tc>
          <w:tcPr>
            <w:shd w:val="clear" w:color="auto" w:fill="auto"/>
            <w:tcW w:w="1982"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具网络安全防护、信息系统全周期项目管理、网络通信运维及IT服务交付的综合能力，可高效统筹复杂IT系统规划、实施与运维全流程工作。</w:t>
            </w:r>
            <w:r/>
          </w:p>
        </w:tc>
      </w:tr>
      <w:tr>
        <w:trPr>
          <w:cantSplit/>
          <w:jc w:val="center"/>
          <w:trHeight w:val="6030"/>
          <w:tblHeader/>
        </w:trPr>
        <w:tc>
          <w:tcPr>
            <w:shd w:val="clear" w:color="auto" w:fill="auto"/>
            <w:tcW w:w="758"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shd w:val="clear" w:color="auto" w:fill="auto"/>
            <w:tcW w:w="1207"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技术负责人</w:t>
            </w:r>
            <w:r/>
          </w:p>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（1人）</w:t>
            </w:r>
            <w:r/>
          </w:p>
        </w:tc>
        <w:tc>
          <w:tcPr>
            <w:shd w:val="clear" w:color="auto" w:fill="auto"/>
            <w:tcW w:w="4411"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（1）技术方案主导：负责项目整体技术方案的设计、审核与优化，确保技术路线符合招标文件及国家标准要求。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（2）技术难点攻关：解决项目实施中的关键技术问题，如SRv6部署、SDN控制器对接、网络安全配置等。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（3）技术团队管理：指导团队成员进行设备配置、系统调试、割接实施等工作。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（4）技术标准落实：确保所有设备、系统、服务符合国产化、安全性、可靠性等技术要求。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（5）与省市平台对接：负责与市级SDN控制器、省级跨域编排器等平台的对接技术工作。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（6）测试与验收支持：组织系统测试、功能验证，配合完成项目各阶段技术验收。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（7）技术文档编制：负责技术方案、配置文档、测试报告等技术资料的编写与审核</w:t>
            </w:r>
            <w:r/>
          </w:p>
        </w:tc>
        <w:tc>
          <w:tcPr>
            <w:shd w:val="clear" w:color="auto" w:fill="auto"/>
            <w:tcW w:w="1982"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具备扎实的网络技术基础、规范的信息系统项目管理能力以及专业的信息安全保障与治理能力。</w:t>
            </w:r>
            <w:r/>
          </w:p>
        </w:tc>
      </w:tr>
      <w:tr>
        <w:trPr>
          <w:cantSplit/>
          <w:jc w:val="center"/>
          <w:trHeight w:val="5465"/>
          <w:tblHeader/>
        </w:trPr>
        <w:tc>
          <w:tcPr>
            <w:shd w:val="clear" w:color="auto" w:fill="auto"/>
            <w:tcW w:w="758"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shd w:val="clear" w:color="auto" w:fill="auto"/>
            <w:tcW w:w="1207"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团队成员（除技术负责人及项目经理）</w:t>
            </w:r>
            <w:r/>
          </w:p>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（2人）</w:t>
            </w:r>
            <w:r/>
          </w:p>
        </w:tc>
        <w:tc>
          <w:tcPr>
            <w:shd w:val="clear" w:color="auto" w:fill="auto"/>
            <w:tcW w:w="4411"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（1）技术实施与部署：协助项目经理与技术负责人，具体执行网络设备、安全设备、系统平台的安装、配置、调试及联调工作。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（2）问题排查与运维支持：负责项目执行过程中的日常巡检、故障排查、性能监控与问题处理，保障系统稳定运行。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（3）文档与资料整理：配合完成项目相关技术文档、配置记录、测试报告、验收资料等的编写、整理与归档。  </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（4）现场协调与配合：根据项目安排，参与现场实施、割接、调试等工作，协助保障施工进度与现场管理。</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（5）技术方案落实：在技术负责人指导下，执行既定的技术方案与实施计划，确保各项技术指标符合要求。</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（6）培训与交接支持：参与用户培训、系统交接等工作，提供必要的技术讲解与操作指导。</w:t>
            </w:r>
            <w:r/>
          </w:p>
        </w:tc>
        <w:tc>
          <w:tcPr>
            <w:shd w:val="clear" w:color="auto" w:fill="auto"/>
            <w:tcW w:w="1982"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具备扎实的通信工程理论基础、丰富的工程实践经验以及高级别的网络架构规划与设计能力</w:t>
            </w:r>
            <w:r/>
          </w:p>
        </w:tc>
      </w:tr>
    </w:tbl>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（四）服务要求</w:t>
      </w:r>
      <w:r/>
    </w:p>
    <w:tbl>
      <w:tblPr>
        <w:tblStyle w:val="707"/>
        <w:tblW w:w="8862"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5"/>
        <w:gridCol w:w="6764"/>
      </w:tblGrid>
      <w:tr>
        <w:trPr>
          <w:trHeight w:val="478"/>
        </w:trPr>
        <w:tc>
          <w:tcPr>
            <w:tcW w:w="823"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275"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名称</w:t>
            </w:r>
            <w:r/>
          </w:p>
        </w:tc>
        <w:tc>
          <w:tcPr>
            <w:tcW w:w="6764" w:type="dxa"/>
            <w:vAlign w:val="center"/>
            <w:textDirection w:val="lrTb"/>
            <w:noWrap w:val="false"/>
          </w:tcPr>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服务要求</w:t>
            </w:r>
            <w:r/>
          </w:p>
        </w:tc>
      </w:tr>
      <w:tr>
        <w:trPr>
          <w:trHeight w:val="478"/>
        </w:trPr>
        <w:tc>
          <w:tcPr>
            <w:tcW w:w="823"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w:t>
            </w:r>
            <w:r/>
          </w:p>
        </w:tc>
        <w:tc>
          <w:tcPr>
            <w:tcW w:w="1275"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服务方案</w:t>
            </w:r>
            <w:r/>
          </w:p>
        </w:tc>
        <w:tc>
          <w:tcPr>
            <w:tcW w:w="6764"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应保证在本项目中使用的任何技术、产品和服务（包括部分使用），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eastAsia="宋体" w:cs="宋体"/>
                <w:b/>
                <w:bCs/>
                <w:color w:val="auto"/>
                <w:sz w:val="24"/>
                <w:highlight w:val="none"/>
                <w:lang w:val="en-US" w:eastAsia="zh-CN"/>
              </w:rPr>
              <w:t xml:space="preserve">（提供承诺书加盖投标人电子签章，格式自拟，未提供的作无效投标处理）</w:t>
            </w:r>
            <w:r/>
          </w:p>
          <w:p>
            <w:pPr>
              <w:jc w:val="left"/>
              <w:widowControl/>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（2）投标人须承诺在合同履约过程中，根据省市工作要求配合采购人做好电子政务网络互联互通等服务工作。</w:t>
            </w:r>
            <w:r>
              <w:rPr>
                <w:rFonts w:hint="eastAsia" w:ascii="宋体" w:hAnsi="宋体" w:eastAsia="宋体" w:cs="宋体"/>
                <w:b/>
                <w:bCs/>
                <w:color w:val="auto"/>
                <w:sz w:val="24"/>
                <w:highlight w:val="none"/>
                <w:lang w:val="en-US" w:eastAsia="zh-CN"/>
              </w:rPr>
              <w:t xml:space="preserve">（提供承诺书加盖投标人电子签章，格式自拟，未提供的作无效投标处理）</w:t>
            </w:r>
            <w:r/>
          </w:p>
          <w:p>
            <w:pPr>
              <w:jc w:val="lef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（3）服务方案输出，应该包括以下方案：</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整体技术解决方案：涵盖需求分析、架构规划、组网设计、设备链路配置、路由设置、业务承载以及可靠性保障，以文字与网络拓扑图结合的形式展现项目建设全貌，细化系统配置，确保方案科学、合理、可行，针对性强，满足项目建设目标，保障项目安全运行。</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2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网络割接方案：现有网络正在运行的所有业务系统将分阶段、分步骤平滑切换至新一张网平面，通过科学、合理、切实可行的网络割接方案，确保业务运行的平滑、稳定和安全。</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项目实施方案：包括供货及安装各节点时间进度、人员配置安排、质量控制、文明施工等，方案应科学、合理、切实可行、针对性强，保障文明安全施工零事故，确保项目整体质量控制达到项目设计及各参数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售后服务方案：包括组织机构与人员配置、日常巡检、故障处理、应急响应、运维流程与规范等内容，保障方案应紧密结合鼓楼区电子政务外网实际情况，方案内容完整、切实可行，确保售后服务的规范和高效。</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⑤培训方案：应提供至少一次的培训，培训内容应涵盖涉及本项目的所有技术要点、SDN控制器使用方式、日常维护要点、常规故障排查等内容。</w:t>
            </w:r>
            <w:r/>
          </w:p>
        </w:tc>
      </w:tr>
      <w:tr>
        <w:trPr>
          <w:trHeight w:val="478"/>
        </w:trPr>
        <w:tc>
          <w:tcPr>
            <w:tcW w:w="823"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p>
        </w:tc>
        <w:tc>
          <w:tcPr>
            <w:tcW w:w="1275"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服务实施</w:t>
            </w:r>
            <w:r/>
          </w:p>
        </w:tc>
        <w:tc>
          <w:tcPr>
            <w:tcW w:w="6764"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（1）进度要求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投标人需自合同签订之日起一个月内（含节假日）完成项目的设备安装调试并安全平稳运行。</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2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投标人需做好项目进展过程中的日常组织、管理、协调工作，做好人员、质量、进度、风险、合同、安全、知识产权、验收、文档等项目具体管理工作。</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3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此项目设备，在实施过程中，若涉及光模块，投标人需提供满足使用性能和要求的万兆和千兆光模块，不另行计费。</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（2）质量要求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原材料及辅材应符合国家规定的强制性环保指标。</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2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3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所提供的技术资料（含软件）完整正确，采购人拥有技术资料（含软件）所有权、使用权等，数据和资料准确无误，能够保证设备按时正确地安装、调试和验收，并能满足正常运行和维修保养的需要。</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④如未能达到合同要求，采购人有权退货并要求供应商赔偿损失。</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（3）安装调试要求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供应商应对其提供的安装调试服务提供现场专业技术咨询、安装、调试、初验、终验和试运行保障服务（提供安装、测试所用的测试设备、工具等），并按照采购人要求按规范进行安装调试。签订合同时应提交安装、调试、验收等施工组织计划，在安装调试结束后， 要提交安装实施、调试、检测报告、验收报告、技术资料、系统技术说明书、使用说明书、维护手册等。</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②安装调试不得影响采购人法定工作日正常办公用网，安装调试前需明确部署应急措施。在确认无法完成部署的情况下，按照应急措施回退相关操作并验证网络恢复情况。</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③安装调试过程中原定方案需变动，应提前告知采购方，经采购方许可后，方可进行变动并及时更新方案内容。</w:t>
            </w:r>
            <w:r/>
          </w:p>
        </w:tc>
      </w:tr>
      <w:tr>
        <w:trPr>
          <w:trHeight w:val="4867"/>
        </w:trPr>
        <w:tc>
          <w:tcPr>
            <w:tcW w:w="823"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w:t>
            </w:r>
            <w:r/>
          </w:p>
        </w:tc>
        <w:tc>
          <w:tcPr>
            <w:tcW w:w="1275"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服务验收</w:t>
            </w:r>
            <w:r/>
          </w:p>
        </w:tc>
        <w:tc>
          <w:tcPr>
            <w:tcW w:w="6764"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（1）服务设备验收</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①报验标准：供应商提供的网络设备（含软件、服务器）、线材、光模块等所有设备必须是全新的、未使用过的原厂合格正品，并保证所提供产品的开箱合格率为 100%，外观和内在质量都不得有任何问题。在约定的租赁服务期及质保期内，供应商必须对由于设计、工艺或材料的缺陷或故障负责。</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②报验方式：到货后五个工作日内，由采购人进行设备验收。当场检验不合格或不符合质量要求，供应商除无条件退货、返工外，还应承担采购人的相关损失。</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③本项目设备报验前后及合同期间，所有设备保管、安全均由供应商负责，设备送到采购人指定地点，运输、装卸及设备安装等环节产生的费用由供应商负责。</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（2）服务项目验收</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①服务项目符合江苏省数据局、南京市数据局新一代电子政务外网建设规范等相关国家、地方标准及要求，安装调试过程的资料齐全完整；全部达到投标文件的功能和相关标准要求；</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②网络设备施工全部完成、完好率达到100%、与市相关平台对接完成后，验收通过后，进入租赁服务期。</w:t>
            </w:r>
            <w:r/>
          </w:p>
        </w:tc>
      </w:tr>
      <w:tr>
        <w:trPr>
          <w:trHeight w:val="478"/>
        </w:trPr>
        <w:tc>
          <w:tcPr>
            <w:tcW w:w="823"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4</w:t>
            </w:r>
            <w:r/>
          </w:p>
        </w:tc>
        <w:tc>
          <w:tcPr>
            <w:tcW w:w="1275" w:type="dxa"/>
            <w:vAlign w:val="center"/>
            <w:textDirection w:val="lrTb"/>
            <w:noWrap w:val="false"/>
          </w:tcPr>
          <w:p>
            <w:pPr>
              <w:jc w:val="center"/>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服务质保（维保）及售后</w:t>
            </w:r>
            <w:r/>
          </w:p>
        </w:tc>
        <w:tc>
          <w:tcPr>
            <w:tcW w:w="6764" w:type="dxa"/>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（1）供应商提供免费上门质保五年（含）以上质保服务承诺函。项目中投标人对产品有延长质保承诺，应按照承诺履约。自验收报告签字确认之日起，开始进入质保期。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质保期内，一旦产品发生质量问题，供应商接到报修请求，应在2小时内响应，4小时内维修人员到达现场，故障报修24小时内无法及时修复的须提供备机，修复或更换零部件须满足国家及行业环保和质量标准。质保期内中标供应商须每年进行整体免费维护一次。</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（3）质保期外，供应商提供终身服务，在货物的设计使用寿命周期内，供应商能保证采购人更换到原厂正宗的备件材料，确保产品的正常使用。 </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（4）质保期内维修（人为因素除外）费用包含在投标总价中，质保期外提供不高于市场价格的终身维护。中标后提供质保期外配件价格明细表。</w:t>
            </w:r>
            <w:r/>
          </w:p>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（5）供应商应保证提供的设备服务国产化可控，因政策或上级文件要求等因素，需要进行国产化安可替代，可进行切换升级。</w:t>
            </w:r>
            <w:r/>
          </w:p>
        </w:tc>
      </w:tr>
    </w:tbl>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（五）商务要求</w:t>
      </w:r>
      <w:r/>
    </w:p>
    <w:p>
      <w:pPr>
        <w:ind w:firstLine="480"/>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报价要求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（1）报价应包含与本次采购项目有关的所有费用。包含但不限于人员、设备、安装、调试、验收、售后服务、伴随配套服务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w:t>
      </w:r>
      <w:r>
        <w:rPr>
          <w:rFonts w:hint="eastAsia" w:ascii="宋体" w:hAnsi="宋体" w:eastAsia="宋体" w:cs="宋体"/>
          <w:color w:val="auto"/>
          <w:sz w:val="24"/>
          <w:szCs w:val="24"/>
          <w:highlight w:val="none"/>
          <w:lang w:eastAsia="zh-CN"/>
        </w:rPr>
        <w:t xml:space="preserve">5个院外单位千兆光纤或数字链路的安装、接入费用</w:t>
      </w:r>
      <w:r>
        <w:rPr>
          <w:rFonts w:hint="eastAsia" w:ascii="宋体" w:hAnsi="宋体" w:eastAsia="宋体" w:cs="宋体"/>
          <w:color w:val="auto"/>
          <w:sz w:val="24"/>
          <w:szCs w:val="24"/>
          <w:highlight w:val="none"/>
        </w:rPr>
        <w:t xml:space="preserve">等所有含税费用。同时，还应包含支付给员工的工资和国家强制缴纳的各种社会保障资金，以及供应商认为需要的其他费用等。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 交付地点及时间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60" w:name="OLE_LINK9"/>
      <w:r>
        <w:rPr>
          <w:rFonts w:hint="eastAsia" w:ascii="宋体" w:hAnsi="宋体" w:eastAsia="宋体" w:cs="宋体"/>
          <w:color w:val="auto"/>
          <w:sz w:val="24"/>
          <w:szCs w:val="24"/>
          <w:highlight w:val="none"/>
        </w:rPr>
        <w:t xml:space="preserve">交付时间：合同签订后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0天内交付并完成安装调试及验收等相关工作。</w:t>
      </w:r>
      <w:bookmarkEnd w:id="260"/>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 付款方式</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（1）预付款支付：本合同经双方签字盖章生效后内，招标人应向供应商支付合同总价的 10%（即人民币【大写金额】元，小写：¥【金额】）作为预付款。</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（2）验收后进度款支付：供应商完成本合同约定的全部服务项目，经招标人组织验收合格后，招标人应向供应商支付合同总价的 15%（即人民币【大写金额】元，小写：¥【金额】）。</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（3）年度考核付款：自服务项目验收合格之日起计算，每满一年为一个考核周期。招标人应在每个考核周期届满后，依据附件《违约情况处罚标准》及供应商实际履约情况（含违约情形）进行考核。</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若考核合格，招标人应向供应商支付合同总价的 25%（即人民币【大写金额】元，小写：¥【金额】）；</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若考核结果涉及费用扣减，扣减金额按《违约情况处罚标准》明确的规则计算，招标人有权从当期应付金额中直接抵扣，抵扣后剩余款项按本条约定时限支付；</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（4）供应商应在招标人支付当期款项前，向招标人开具对应金额（扣除扣减费用后的金额）的合法有效发票，否则甲方可顺延支付。</w:t>
      </w:r>
      <w:r/>
    </w:p>
    <w:p>
      <w:pPr>
        <w:ind w:left="2" w:right="35" w:firstLine="490"/>
        <w:spacing w:before="57"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供应商在提供实施服务、租赁服务及售后服务内违约情况处罚如下：</w:t>
      </w:r>
      <w:r/>
    </w:p>
    <w:p>
      <w:pPr>
        <w:ind w:right="35"/>
        <w:jc w:val="center"/>
        <w:spacing w:before="57" w:line="25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《违约情况处罚标准》</w:t>
      </w:r>
      <w:r/>
    </w:p>
    <w:tbl>
      <w:tblPr>
        <w:tblStyle w:val="707"/>
        <w:tblW w:w="8600" w:type="dxa"/>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7328"/>
      </w:tblGrid>
      <w:tr>
        <w:trPr>
          <w:trHeight w:val="478"/>
        </w:trPr>
        <w:tc>
          <w:tcPr>
            <w:tcW w:w="1272"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违约处罚</w:t>
            </w:r>
            <w:r/>
          </w:p>
        </w:tc>
        <w:tc>
          <w:tcPr>
            <w:tcW w:w="732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处罚方式：罚金2000元</w:t>
            </w:r>
            <w:r>
              <w:rPr>
                <w:rFonts w:hint="eastAsia" w:ascii="宋体" w:hAnsi="宋体" w:cs="宋体"/>
                <w:color w:val="auto"/>
                <w:sz w:val="24"/>
                <w:highlight w:val="none"/>
                <w:lang w:val="en-US" w:eastAsia="zh-CN"/>
              </w:rPr>
              <w:t xml:space="preserve">/次</w:t>
            </w:r>
            <w:r>
              <w:rPr>
                <w:rFonts w:hint="eastAsia" w:ascii="宋体" w:hAnsi="宋体" w:eastAsia="宋体" w:cs="宋体"/>
                <w:color w:val="auto"/>
                <w:sz w:val="24"/>
                <w:highlight w:val="none"/>
              </w:rPr>
              <w:t xml:space="preserve">，该金额将在项目合同中给予扣除，并由采购人口头警告或书面通报，多处存在问题的进行累计处罚。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存在多处多次违规的行为，由采购人约谈被处罚单位主要负责人，约谈无效的将终止合同，其所造成的影响及损失由被处罚单位进行承担，一旦出现终止合同的情况后，3年内禁止中标供应商参与采购人的任何有关项目。</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处罚依据：根据本项目的各项实质性要求对中标供应商进行考核，有一次一项未到达要求，将进行口头警告或由采购人下发书面通知单要求其进行整改。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具体包括但不限于以下内容：</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施工及</w:t>
            </w:r>
            <w:r>
              <w:rPr>
                <w:rFonts w:hint="eastAsia" w:ascii="宋体" w:hAnsi="宋体" w:eastAsia="宋体" w:cs="宋体"/>
                <w:color w:val="auto"/>
                <w:sz w:val="24"/>
                <w:highlight w:val="none"/>
                <w:lang w:val="en-US" w:eastAsia="zh-CN"/>
              </w:rPr>
              <w:t xml:space="preserve">售后</w:t>
            </w:r>
            <w:r>
              <w:rPr>
                <w:rFonts w:hint="eastAsia" w:ascii="宋体" w:hAnsi="宋体" w:eastAsia="宋体" w:cs="宋体"/>
                <w:color w:val="auto"/>
                <w:sz w:val="24"/>
                <w:highlight w:val="none"/>
              </w:rPr>
              <w:t xml:space="preserve">服务过程中，如发现中标供应商提供的产品、设备、服务与实际不符的，计一次处罚，多处存在问题的进行累计处罚。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施工及</w:t>
            </w:r>
            <w:r>
              <w:rPr>
                <w:rFonts w:hint="eastAsia" w:ascii="宋体" w:hAnsi="宋体" w:eastAsia="宋体" w:cs="宋体"/>
                <w:color w:val="auto"/>
                <w:sz w:val="24"/>
                <w:highlight w:val="none"/>
                <w:lang w:val="en-US" w:eastAsia="zh-CN"/>
              </w:rPr>
              <w:t xml:space="preserve">售后</w:t>
            </w:r>
            <w:r>
              <w:rPr>
                <w:rFonts w:hint="eastAsia" w:ascii="宋体" w:hAnsi="宋体" w:eastAsia="宋体" w:cs="宋体"/>
                <w:color w:val="auto"/>
                <w:sz w:val="24"/>
                <w:highlight w:val="none"/>
              </w:rPr>
              <w:t xml:space="preserve">服务过程中，如发现中标供应商未经过报备批准，擅自变更骨干网络配置的，计一次处罚。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施工及</w:t>
            </w:r>
            <w:r>
              <w:rPr>
                <w:rFonts w:hint="eastAsia" w:ascii="宋体" w:hAnsi="宋体" w:eastAsia="宋体" w:cs="宋体"/>
                <w:color w:val="auto"/>
                <w:sz w:val="24"/>
                <w:highlight w:val="none"/>
                <w:lang w:val="en-US" w:eastAsia="zh-CN"/>
              </w:rPr>
              <w:t xml:space="preserve">售后</w:t>
            </w:r>
            <w:r>
              <w:rPr>
                <w:rFonts w:hint="eastAsia" w:ascii="宋体" w:hAnsi="宋体" w:eastAsia="宋体" w:cs="宋体"/>
                <w:color w:val="auto"/>
                <w:sz w:val="24"/>
                <w:highlight w:val="none"/>
              </w:rPr>
              <w:t xml:space="preserve">服务过程中，由于中标供应商原因对政务外网稳定运行造成影响的，计一次处罚。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因业务需要，需对骨干网配置做调整，中标供应商超过48小时仍未处理的，计一次处罚。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lang w:val="en-US" w:eastAsia="zh-CN"/>
              </w:rPr>
              <w:t xml:space="preserve">售后</w:t>
            </w:r>
            <w:r>
              <w:rPr>
                <w:rFonts w:hint="eastAsia" w:ascii="宋体" w:hAnsi="宋体" w:eastAsia="宋体" w:cs="宋体"/>
                <w:color w:val="auto"/>
                <w:sz w:val="24"/>
                <w:highlight w:val="none"/>
              </w:rPr>
              <w:t xml:space="preserve">服务过程中，</w:t>
            </w:r>
            <w:r>
              <w:rPr>
                <w:rFonts w:hint="eastAsia" w:ascii="宋体" w:hAnsi="宋体" w:eastAsia="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故障申告受理确认回复时间超过半小时的，计一次处罚。</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运维服务过程中，如发现中标供应商未经许可向第三方提供或泄露网络设备拓扑、参数、资料和信息，计一次处罚。</w:t>
            </w:r>
            <w:r/>
          </w:p>
        </w:tc>
      </w:tr>
    </w:tbl>
    <w:p>
      <w:pPr>
        <w:spacing w:line="264"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 其他要求</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256"/>
      <w:r/>
      <w:r/>
    </w:p>
    <w:p>
      <w:pPr>
        <w:rPr>
          <w:rFonts w:ascii="Arial" w:hAnsi="Arial" w:cs="Arial"/>
          <w:color w:val="auto"/>
          <w:highlight w:val="none"/>
        </w:rPr>
      </w:pPr>
      <w:r>
        <w:rPr>
          <w:rFonts w:ascii="Arial" w:hAnsi="Arial" w:cs="Arial"/>
          <w:color w:val="auto"/>
          <w:highlight w:val="none"/>
        </w:rPr>
      </w:r>
      <w:r/>
    </w:p>
    <w:p>
      <w:pPr>
        <w:pStyle w:val="738"/>
        <w:ind w:firstLine="569"/>
        <w:spacing w:line="480" w:lineRule="auto"/>
        <w:rPr>
          <w:rFonts w:ascii="Arial" w:hAnsi="Arial" w:cs="Arial"/>
          <w:color w:val="auto"/>
          <w:highlight w:val="none"/>
        </w:rPr>
      </w:pPr>
      <w:r/>
      <w:bookmarkStart w:id="261" w:name="_Toc107246272"/>
      <w:r>
        <w:rPr>
          <w:rFonts w:ascii="Arial" w:hAnsi="Arial" w:cs="Arial"/>
          <w:color w:val="auto"/>
          <w:highlight w:val="none"/>
        </w:rPr>
        <w:t xml:space="preserve">第五章 评标方法与评标标准</w:t>
      </w:r>
      <w:bookmarkEnd w:id="261"/>
      <w:r/>
      <w:r/>
    </w:p>
    <w:p>
      <w:pPr>
        <w:contextualSpacing/>
        <w:ind w:firstLine="480"/>
        <w:spacing w:line="360" w:lineRule="auto"/>
        <w:rPr>
          <w:rFonts w:ascii="Arial" w:hAnsi="Arial" w:cs="Arial"/>
          <w:color w:val="auto"/>
          <w:sz w:val="24"/>
          <w:highlight w:val="none"/>
        </w:rPr>
      </w:pPr>
      <w:r>
        <w:rPr>
          <w:rFonts w:ascii="Arial" w:hAnsi="Arial" w:cs="Arial"/>
          <w:color w:val="auto"/>
          <w:sz w:val="24"/>
          <w:highlight w:val="none"/>
        </w:rPr>
        <w:t xml:space="preserve">一、评标方法</w:t>
      </w:r>
      <w:r/>
    </w:p>
    <w:p>
      <w:pPr>
        <w:contextualSpacing/>
        <w:ind w:firstLine="480"/>
        <w:spacing w:line="360" w:lineRule="auto"/>
        <w:rPr>
          <w:rFonts w:ascii="Arial" w:hAnsi="Arial" w:cs="Arial"/>
          <w:color w:val="auto"/>
          <w:sz w:val="24"/>
          <w:highlight w:val="none"/>
        </w:rPr>
      </w:pPr>
      <w:r>
        <w:rPr>
          <w:rFonts w:hint="eastAsia" w:ascii="Arial" w:hAnsi="Arial" w:cs="Arial"/>
          <w:color w:val="auto"/>
          <w:sz w:val="24"/>
          <w:highlight w:val="none"/>
        </w:rPr>
        <w:t xml:space="preserve">采用综合评分法，评标结果按评审后得分由高到低顺序排列。得分相同的，按投标报价由低到高顺序排列。得分且投标报价相同的，按“</w:t>
      </w:r>
      <w:r>
        <w:rPr>
          <w:rFonts w:hint="eastAsia" w:ascii="Arial" w:hAnsi="Arial" w:cs="Arial"/>
          <w:color w:val="auto"/>
          <w:sz w:val="24"/>
          <w:highlight w:val="none"/>
          <w:lang w:val="en-US" w:eastAsia="zh-CN"/>
        </w:rPr>
        <w:t xml:space="preserve">二</w:t>
      </w:r>
      <w:r>
        <w:rPr>
          <w:rFonts w:hint="eastAsia" w:ascii="Arial" w:hAnsi="Arial" w:cs="Arial"/>
          <w:color w:val="auto"/>
          <w:sz w:val="24"/>
          <w:highlight w:val="none"/>
        </w:rPr>
        <w:t xml:space="preserve">、评标标准中2.1-2.3项”得分由高到低顺序排列。在投标文件满足招标文件全部实质性要求的供应商中，按照评审得分由高到低推荐3名中标候选人。</w:t>
      </w:r>
      <w:r/>
    </w:p>
    <w:p>
      <w:pPr>
        <w:contextualSpacing/>
        <w:ind w:firstLine="480"/>
        <w:spacing w:line="360" w:lineRule="auto"/>
        <w:rPr>
          <w:rFonts w:ascii="Arial" w:hAnsi="Arial" w:cs="Arial"/>
          <w:color w:val="auto"/>
          <w:sz w:val="24"/>
          <w:highlight w:val="none"/>
        </w:rPr>
      </w:pPr>
      <w:r>
        <w:rPr>
          <w:rFonts w:ascii="Arial" w:hAnsi="Arial" w:cs="Arial"/>
          <w:color w:val="auto"/>
          <w:sz w:val="24"/>
          <w:highlight w:val="none"/>
        </w:rPr>
        <w:t xml:space="preserve">二、评标标准</w:t>
      </w:r>
      <w:r/>
    </w:p>
    <w:p>
      <w:pPr>
        <w:contextualSpacing/>
        <w:ind w:firstLine="480"/>
        <w:spacing w:line="360" w:lineRule="auto"/>
        <w:rPr>
          <w:rFonts w:ascii="Arial" w:hAnsi="Arial" w:cs="Arial"/>
          <w:color w:val="auto"/>
          <w:sz w:val="24"/>
          <w:highlight w:val="none"/>
        </w:rPr>
      </w:pPr>
      <w:r>
        <w:rPr>
          <w:rFonts w:ascii="Arial" w:hAnsi="Arial" w:cs="Arial"/>
          <w:color w:val="auto"/>
          <w:sz w:val="24"/>
          <w:highlight w:val="none"/>
        </w:rPr>
        <w:t xml:space="preserve">本项目采用综合评分法确定中标候选人。评标委员会将按下列评分办法和标准进行评分，总分值为100分。</w:t>
      </w:r>
      <w:r/>
    </w:p>
    <w:tbl>
      <w:tblPr>
        <w:tblStyle w:val="707"/>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785"/>
        <w:gridCol w:w="7763"/>
        <w:gridCol w:w="698"/>
      </w:tblGrid>
      <w:tr>
        <w:trPr>
          <w:jc w:val="center"/>
        </w:trPr>
        <w:tc>
          <w:tcPr>
            <w:tcW w:w="692"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序号</w:t>
            </w:r>
            <w:r/>
          </w:p>
        </w:tc>
        <w:tc>
          <w:tcPr>
            <w:tcW w:w="78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评审</w:t>
            </w:r>
            <w:r/>
          </w:p>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因素</w:t>
            </w:r>
            <w:r/>
          </w:p>
        </w:tc>
        <w:tc>
          <w:tcPr>
            <w:tcW w:w="776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评审标准</w:t>
            </w:r>
            <w:r/>
          </w:p>
        </w:tc>
        <w:tc>
          <w:tcPr>
            <w:tcW w:w="698"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分值</w:t>
            </w:r>
            <w:r/>
          </w:p>
        </w:tc>
      </w:tr>
      <w:tr>
        <w:trPr>
          <w:jc w:val="center"/>
          <w:trHeight w:val="1319"/>
        </w:trPr>
        <w:tc>
          <w:tcPr>
            <w:tcW w:w="692"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p>
        </w:tc>
        <w:tc>
          <w:tcPr>
            <w:tcW w:w="78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价格</w:t>
            </w:r>
            <w:r/>
          </w:p>
        </w:tc>
        <w:tc>
          <w:tcPr>
            <w:tcW w:w="776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采用低价优先法计算，即满足招标文件要求且评审价格最低的报价为评标基准价，其价格分为满分。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其他投标人的价格分统一按照下列公式计算（小数点后保留二位）：价格分=（评标基准价/投标人报价）×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评标委员会发现投标人报价低于采购项目预算50%，或者低于采购项目最高限价45%，或者认为投标人的报价过低，有可能影响产品或服务质量或不能诚信履约的，应当启动异常低价投标审查机制，应当通过苏采云系统要求投标人在合理的时间内提供项目具体成本测算等与报价合理性相关说明及相关证明材料。投标人不提供合理性说明及证明材料，或者合理性说明、证明材料不能证明其报价合理性的，评标委员会应当将其作为无效投标处理。</w:t>
            </w:r>
            <w:r/>
          </w:p>
        </w:tc>
        <w:tc>
          <w:tcPr>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Pr>
        <w:tc>
          <w:tcPr>
            <w:gridSpan w:val="4"/>
            <w:tcW w:w="993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 技术服务</w:t>
            </w:r>
            <w:r/>
          </w:p>
        </w:tc>
      </w:tr>
      <w:tr>
        <w:trPr>
          <w:jc w:val="center"/>
          <w:trHeight w:val="1205"/>
        </w:trPr>
        <w:tc>
          <w:tcPr>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W w:w="78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服务参数</w:t>
            </w:r>
            <w:r/>
          </w:p>
        </w:tc>
        <w:tc>
          <w:tcPr>
            <w:shd w:val="clear" w:color="auto" w:fill="auto"/>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投标人所提供服务技术参数标★必须全部满足，任意一项不满足做无效标处理，非标★部分有一项不满足招标</w:t>
            </w:r>
            <w:r>
              <w:rPr>
                <w:rFonts w:hint="eastAsia" w:ascii="宋体" w:hAnsi="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要求扣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分，扣完为止。参数要求中如需提供检测报告、证书或相关证明材料等，投标人需提供以上资料扫描件上传至电子投标文件，并加盖投标人电子签章，未提供的作负偏离处理。</w:t>
            </w:r>
            <w:r/>
          </w:p>
        </w:tc>
        <w:tc>
          <w:tcPr>
            <w:shd w:val="clear" w:color="auto" w:fill="auto"/>
            <w:tcW w:w="69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24</w:t>
            </w:r>
            <w:r/>
          </w:p>
        </w:tc>
      </w:tr>
      <w:tr>
        <w:trPr>
          <w:jc w:val="center"/>
          <w:trHeight w:val="118"/>
        </w:trPr>
        <w:tc>
          <w:tcPr>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W w:w="78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整体技术解决方案</w:t>
            </w:r>
            <w:r/>
          </w:p>
        </w:tc>
        <w:tc>
          <w:tcPr>
            <w:shd w:val="clear" w:color="auto" w:fill="auto"/>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评委根据投标人提供的整体技术解决方案（包括但不限于需求分析、架构规划、组网设计、设备链路配置、路由设置、业务承载以及可靠性保障</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rPr>
              <w:t xml:space="preserve">文字与网络拓扑图结合的形式展现项目建设全貌，细化系统配置等）进行评分：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（1）方案具体详细、完善、可操作性强得10分；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（2）方案具体详细、完善、可操作性较强得7分；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（3）方案不够具体详细、不够完善、可操作性一般得4分；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（4）无此项内容不得分。</w:t>
            </w:r>
            <w:r/>
          </w:p>
        </w:tc>
        <w:tc>
          <w:tcPr>
            <w:shd w:val="clear" w:color="auto" w:fill="auto"/>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859"/>
        </w:trPr>
        <w:tc>
          <w:tcPr>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W w:w="785"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项目实施方案</w:t>
            </w:r>
            <w:r/>
          </w:p>
        </w:tc>
        <w:tc>
          <w:tcPr>
            <w:shd w:val="clear" w:color="auto" w:fill="auto"/>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评委根据投标人提供的项目实施方案（包括但不限于供货进度保证措施、质量保证措施、协调配合措施、安装调试方案等）进行评分：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（1）方案具体详细、完善、可操作性强得10分；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（2）方案具体详细、完善、可操作性较强得7分；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（3）方案不够具体详细、不够完善、可操作性一般得4分；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（4）无此项内容不得分。</w:t>
            </w:r>
            <w:r/>
          </w:p>
        </w:tc>
        <w:tc>
          <w:tcPr>
            <w:shd w:val="clear" w:color="auto" w:fill="auto"/>
            <w:tcW w:w="69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90"/>
        </w:trPr>
        <w:tc>
          <w:tcPr>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2.4</w:t>
            </w:r>
            <w:r/>
          </w:p>
        </w:tc>
        <w:tc>
          <w:tcPr>
            <w:tcW w:w="785"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网络割接方案</w:t>
            </w:r>
            <w:r/>
          </w:p>
        </w:tc>
        <w:tc>
          <w:tcPr>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评委根据投标人提供的网络割接方案（包括但不限于对现网业务情况分析、分阶段割接计划、割接方式、风险评估及应对措施、回退方案等）进行评分：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（1）方案具体详细、完善、可操作性强得10分；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（2）方案具体详细、完善、可操作性较强得7分；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（3）方案不够具体详细、不够完善、可操作性一般得4分；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（4）无此项内容不得分。</w:t>
            </w:r>
            <w:r/>
          </w:p>
        </w:tc>
        <w:tc>
          <w:tcPr>
            <w:tcW w:w="698" w:type="dxa"/>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90"/>
        </w:trPr>
        <w:tc>
          <w:tcPr>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2.4</w:t>
            </w:r>
            <w:r/>
          </w:p>
        </w:tc>
        <w:tc>
          <w:tcPr>
            <w:tcW w:w="785" w:type="dxa"/>
            <w:vAlign w:val="center"/>
            <w:textDirection w:val="lrTb"/>
            <w:noWrap w:val="false"/>
          </w:tcPr>
          <w:p>
            <w:pPr>
              <w:jc w:val="center"/>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售后服务方案</w:t>
            </w:r>
            <w:r/>
          </w:p>
        </w:tc>
        <w:tc>
          <w:tcPr>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提供7*24小时网络故障报修服务，接到故障报修后0.5小时内响应，1小时内到达现场，非设备问题4小时内处理完毕相关故障报修，设备导致故障应及时提供备件支撑8小时内处理完毕的得2分，本项最高得2分，不提供不得分。（提供承诺书加盖投标人电子签章，承诺书格式自拟）</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评委根据投标人提供的运维服务方案进行评分：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（1）方案具体详细、完善、可操作性强得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（2）方案具体详细、完善、可操作性较强得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（3）方案不够具体详细、不够完善、可操作性一般得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（4）无此项内容不得分。</w:t>
            </w:r>
            <w:r/>
          </w:p>
        </w:tc>
        <w:tc>
          <w:tcPr>
            <w:tcW w:w="698" w:type="dxa"/>
            <w:vAlign w:val="center"/>
            <w:textDirection w:val="lrTb"/>
            <w:noWrap w:val="false"/>
          </w:tcPr>
          <w:p>
            <w:pPr>
              <w:jc w:val="center"/>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w:t>
            </w:r>
            <w:r/>
          </w:p>
        </w:tc>
      </w:tr>
      <w:tr>
        <w:trPr>
          <w:jc w:val="center"/>
          <w:trHeight w:val="90"/>
        </w:trPr>
        <w:tc>
          <w:tcPr>
            <w:tcW w:w="69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785" w:type="dxa"/>
            <w:vAlign w:val="center"/>
            <w:textDirection w:val="lrTb"/>
            <w:noWrap w:val="false"/>
          </w:tcPr>
          <w:p>
            <w:pPr>
              <w:jc w:val="center"/>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培训方案</w:t>
            </w:r>
            <w:r/>
          </w:p>
        </w:tc>
        <w:tc>
          <w:tcPr>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评委根据投标人提供的培训方案（包括但不限于培训需求分析、培训目标计划、培训内容及方法、负责培训人员情况、</w:t>
            </w:r>
            <w:r>
              <w:rPr>
                <w:rFonts w:hint="eastAsia" w:ascii="宋体" w:hAnsi="宋体" w:eastAsia="宋体" w:cs="宋体"/>
                <w:color w:val="auto"/>
                <w:sz w:val="21"/>
                <w:szCs w:val="21"/>
                <w:highlight w:val="none"/>
                <w:lang w:val="zh-CN"/>
              </w:rPr>
              <w:t xml:space="preserve">资料交接、SDN控制器使用方式、日常维护要点</w:t>
            </w:r>
            <w:r>
              <w:rPr>
                <w:rFonts w:hint="eastAsia" w:ascii="宋体" w:hAnsi="宋体" w:eastAsia="宋体" w:cs="宋体"/>
                <w:color w:val="auto"/>
                <w:sz w:val="21"/>
                <w:szCs w:val="21"/>
                <w:highlight w:val="none"/>
              </w:rPr>
              <w:t xml:space="preserve">等）进行评分：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（1）方案具体详细、完善、可操作性强得6分；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（2）方案具体详细、完善、可操作性较强得4分；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（3）方案不够具体详细、不够完善、可操作性一般得2分；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（4）无此项内容不得分。</w:t>
            </w:r>
            <w:r/>
          </w:p>
        </w:tc>
        <w:tc>
          <w:tcPr>
            <w:tcW w:w="698" w:type="dxa"/>
            <w:vAlign w:val="center"/>
            <w:textDirection w:val="lrTb"/>
            <w:noWrap w:val="false"/>
          </w:tcPr>
          <w:p>
            <w:pPr>
              <w:jc w:val="center"/>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r>
      <w:tr>
        <w:trPr>
          <w:jc w:val="center"/>
          <w:trHeight w:val="1222"/>
        </w:trPr>
        <w:tc>
          <w:tcPr>
            <w:tcW w:w="692" w:type="dxa"/>
            <w:vAlign w:val="center"/>
            <w:textDirection w:val="lrTb"/>
            <w:noWrap w:val="false"/>
          </w:tcPr>
          <w:p>
            <w:pPr>
              <w:ind w:right="-24"/>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p>
        </w:tc>
        <w:tc>
          <w:tcPr>
            <w:tcW w:w="785" w:type="dxa"/>
            <w:vAlign w:val="center"/>
            <w:textDirection w:val="lrTb"/>
            <w:noWrap w:val="false"/>
          </w:tcPr>
          <w:p>
            <w:pPr>
              <w:jc w:val="cente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业绩</w:t>
            </w:r>
            <w:r/>
          </w:p>
        </w:tc>
        <w:tc>
          <w:tcPr>
            <w:tcW w:w="776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投标人提供自2022年</w:t>
            </w:r>
            <w:r>
              <w:rPr>
                <w:rFonts w:hint="eastAsia" w:ascii="宋体" w:hAnsi="宋体" w:eastAsia="宋体" w:cs="宋体"/>
                <w:color w:val="auto"/>
                <w:sz w:val="21"/>
                <w:szCs w:val="21"/>
                <w:highlight w:val="none"/>
                <w:lang w:eastAsia="zh-CN"/>
              </w:rPr>
              <w:t xml:space="preserve">11月</w:t>
            </w:r>
            <w:r>
              <w:rPr>
                <w:rFonts w:hint="eastAsia" w:ascii="宋体" w:hAnsi="宋体" w:eastAsia="宋体" w:cs="宋体"/>
                <w:color w:val="auto"/>
                <w:sz w:val="21"/>
                <w:szCs w:val="21"/>
                <w:highlight w:val="none"/>
              </w:rPr>
              <w:t xml:space="preserve">1日及以来（以合同签订时间为准）承接的类似项目业绩，每提供1个业绩得2分，最多得6分。（提供合同原件扫描件，编制至电子投标文件中，证明材料缺项或未提供的不得分）</w:t>
            </w:r>
            <w:r/>
          </w:p>
        </w:tc>
        <w:tc>
          <w:tcPr>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Pr>
        <w:tc>
          <w:tcPr>
            <w:gridSpan w:val="4"/>
            <w:tcW w:w="9938"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履约能力</w:t>
            </w:r>
            <w:r/>
          </w:p>
        </w:tc>
      </w:tr>
      <w:tr>
        <w:trPr>
          <w:jc w:val="center"/>
        </w:trPr>
        <w:tc>
          <w:tcPr>
            <w:shd w:val="clear" w:color="auto" w:fill="auto"/>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p>
        </w:tc>
        <w:tc>
          <w:tcPr>
            <w:shd w:val="clear" w:color="auto" w:fill="auto"/>
            <w:tcW w:w="785" w:type="dxa"/>
            <w:vAlign w:val="center"/>
            <w:textDirection w:val="lrTb"/>
            <w:noWrap w:val="false"/>
          </w:tcPr>
          <w:p>
            <w:pPr>
              <w:jc w:val="center"/>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项目团队能力</w:t>
            </w:r>
            <w:r/>
          </w:p>
        </w:tc>
        <w:tc>
          <w:tcPr>
            <w:shd w:val="clear" w:color="auto" w:fill="auto"/>
            <w:tcW w:w="7763" w:type="dxa"/>
            <w:vAlign w:val="top"/>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投标人拟投入本项目的项目经理（仅限1人）具有网络通信</w:t>
            </w:r>
            <w:r>
              <w:rPr>
                <w:rFonts w:hint="eastAsia" w:ascii="宋体" w:hAnsi="宋体" w:cs="宋体"/>
                <w:color w:val="auto"/>
                <w:sz w:val="21"/>
                <w:szCs w:val="21"/>
                <w:highlight w:val="none"/>
                <w:lang w:val="en-US" w:eastAsia="zh-CN"/>
              </w:rPr>
              <w:t xml:space="preserve">安全</w:t>
            </w:r>
            <w:r>
              <w:rPr>
                <w:rFonts w:hint="eastAsia" w:ascii="宋体" w:hAnsi="宋体" w:eastAsia="宋体" w:cs="宋体"/>
                <w:color w:val="auto"/>
                <w:sz w:val="21"/>
                <w:szCs w:val="21"/>
                <w:highlight w:val="none"/>
              </w:rPr>
              <w:t xml:space="preserve">管理员得1分，同时具有网络安全能力认证（CCSC）加1分，同时具有信息系统项目管理师加1分，同时具有IT服务项目经理加1分，本项满分4分。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投标人拟投入本项目的项目技术负责人（仅限1人，且不与项目经理为同1人）具有计算机技术与软件专业技术资格认证的网络工程师得1分，同时具有信息系统项目管理师加1分，本项满分2分。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投标人拟投入本项目的项目团队成员2人（项目经理、技术负责人除外）满足以下要求的：</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其中1个成员</w:t>
            </w:r>
            <w:r>
              <w:rPr>
                <w:rFonts w:hint="eastAsia" w:ascii="宋体" w:hAnsi="宋体" w:eastAsia="宋体" w:cs="宋体"/>
                <w:color w:val="auto"/>
                <w:sz w:val="21"/>
                <w:szCs w:val="21"/>
                <w:highlight w:val="none"/>
                <w:lang w:val="en-US" w:eastAsia="zh-CN"/>
              </w:rPr>
              <w:t xml:space="preserve">具有数字经济（通信）工程专业高级工程师职称证书</w:t>
            </w:r>
            <w:r>
              <w:rPr>
                <w:rFonts w:hint="eastAsia" w:ascii="宋体" w:hAnsi="宋体" w:eastAsia="宋体" w:cs="宋体"/>
                <w:color w:val="auto"/>
                <w:sz w:val="21"/>
                <w:szCs w:val="21"/>
                <w:highlight w:val="none"/>
              </w:rPr>
              <w:t xml:space="preserve">得1分；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其中1个成员具有</w:t>
            </w:r>
            <w:r>
              <w:rPr>
                <w:rFonts w:hint="eastAsia" w:ascii="宋体" w:hAnsi="宋体" w:eastAsia="宋体" w:cs="宋体"/>
                <w:color w:val="auto"/>
                <w:sz w:val="21"/>
                <w:szCs w:val="21"/>
                <w:highlight w:val="none"/>
                <w:lang w:val="en-US" w:eastAsia="zh-CN"/>
              </w:rPr>
              <w:t xml:space="preserve">网络规划设计师</w:t>
            </w:r>
            <w:r>
              <w:rPr>
                <w:rFonts w:hint="eastAsia" w:ascii="宋体" w:hAnsi="宋体" w:eastAsia="宋体" w:cs="宋体"/>
                <w:color w:val="auto"/>
                <w:sz w:val="21"/>
                <w:szCs w:val="21"/>
                <w:highlight w:val="none"/>
              </w:rPr>
              <w:t xml:space="preserve">证书得1分；每提供一个人员证书得1分，本项最高得2分。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注：一人具有多证不兼得分（提供相关人员证书复印件及投标人为其缴纳的</w:t>
            </w:r>
            <w:r>
              <w:rPr>
                <w:rFonts w:hint="eastAsia" w:ascii="宋体" w:hAnsi="宋体" w:cs="宋体"/>
                <w:color w:val="auto"/>
                <w:sz w:val="21"/>
                <w:szCs w:val="21"/>
                <w:highlight w:val="none"/>
                <w:lang w:eastAsia="zh-CN"/>
              </w:rPr>
              <w:t xml:space="preserve">2025年8月以来任意一个月的</w:t>
            </w:r>
            <w:r>
              <w:rPr>
                <w:rFonts w:hint="eastAsia" w:ascii="宋体" w:hAnsi="宋体" w:eastAsia="宋体" w:cs="宋体"/>
                <w:color w:val="auto"/>
                <w:sz w:val="21"/>
                <w:szCs w:val="21"/>
                <w:highlight w:val="none"/>
              </w:rPr>
              <w:t xml:space="preserve">社保证明，编制至电子投标文件中，缺一不可）</w:t>
            </w:r>
            <w:r/>
          </w:p>
        </w:tc>
        <w:tc>
          <w:tcPr>
            <w:shd w:val="clear" w:color="auto" w:fill="auto"/>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Pr>
        <w:tc>
          <w:tcPr>
            <w:shd w:val="clear" w:color="auto" w:fill="auto"/>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w:t>
            </w:r>
            <w:r/>
          </w:p>
        </w:tc>
        <w:tc>
          <w:tcPr>
            <w:shd w:val="clear" w:color="auto" w:fill="auto"/>
            <w:tcW w:w="785" w:type="dxa"/>
            <w:vAlign w:val="center"/>
            <w:textDirection w:val="lrTb"/>
            <w:noWrap w:val="false"/>
          </w:tcPr>
          <w:p>
            <w:pPr>
              <w:jc w:val="center"/>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投标人能力</w:t>
            </w:r>
            <w:r/>
          </w:p>
        </w:tc>
        <w:tc>
          <w:tcPr>
            <w:shd w:val="clear" w:color="auto" w:fill="auto"/>
            <w:tcW w:w="776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投标人具备有效期内的通信网络安全服务能力评定证书（安全设计及集成）一级得1分，其他不得分；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投标人具有有效期内信息系统服务交付能力等级证书一级得1分，其他不得分；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投标人具有有效期内信息系统建设和服务能力（CS4）及以上等级证书得1分，其他不得分；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投标人同时具备有效期内的CCRC信息安全服务资质认证证书（信息系统安全运维）一级、CCRC信息安全服务资质认证证书（信息安全应急处理）一级得2分，其他不得分；</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投标人具备有效期内的信息技术服务管理体系认证证书得1分。</w:t>
            </w:r>
            <w:r/>
          </w:p>
          <w:p>
            <w:pPr>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本项满分6分。</w:t>
            </w:r>
            <w:r/>
          </w:p>
          <w:p>
            <w:pPr>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（提供有效期内的证书复印件并加盖公章编制至电子投标文件中，否则不得分）</w:t>
            </w:r>
            <w:r/>
          </w:p>
        </w:tc>
        <w:tc>
          <w:tcPr>
            <w:shd w:val="clear" w:color="auto" w:fill="auto"/>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Pr>
        <w:tc>
          <w:tcPr>
            <w:shd w:val="clear" w:color="auto" w:fill="auto"/>
            <w:tcW w:w="692" w:type="dxa"/>
            <w:vAlign w:val="center"/>
            <w:textDirection w:val="lrTb"/>
            <w:noWrap w:val="false"/>
          </w:tcPr>
          <w:p>
            <w:pPr>
              <w:jc w:val="center"/>
              <w:widowControl/>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w:t>
            </w:r>
            <w:r/>
          </w:p>
        </w:tc>
        <w:tc>
          <w:tcPr>
            <w:shd w:val="clear" w:color="auto" w:fill="auto"/>
            <w:tcW w:w="785" w:type="dxa"/>
            <w:vAlign w:val="center"/>
            <w:textDirection w:val="lrTb"/>
            <w:noWrap w:val="false"/>
          </w:tcPr>
          <w:p>
            <w:pPr>
              <w:jc w:val="center"/>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本地化服务</w:t>
            </w:r>
            <w:r/>
          </w:p>
        </w:tc>
        <w:tc>
          <w:tcPr>
            <w:shd w:val="clear" w:color="auto" w:fill="auto"/>
            <w:tcW w:w="776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投标人具备本地化服务能力，得2分（需提供承诺函或其他具备本地服务能力的证明材料）。</w:t>
            </w:r>
            <w:r/>
          </w:p>
        </w:tc>
        <w:tc>
          <w:tcPr>
            <w:shd w:val="clear" w:color="auto" w:fill="auto"/>
            <w:tcW w:w="698"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p>
        </w:tc>
      </w:tr>
      <w:tr>
        <w:trPr>
          <w:jc w:val="center"/>
        </w:trPr>
        <w:tc>
          <w:tcPr>
            <w:gridSpan w:val="3"/>
            <w:tcW w:w="924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合计分值</w:t>
            </w:r>
            <w:r/>
          </w:p>
        </w:tc>
        <w:tc>
          <w:tcPr>
            <w:tcW w:w="698"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r>
    </w:tbl>
    <w:p>
      <w:pPr>
        <w:spacing w:line="360" w:lineRule="auto"/>
        <w:rPr>
          <w:rStyle w:val="993"/>
          <w:rFonts w:ascii="Arial" w:hAnsi="Arial" w:cs="Arial"/>
          <w:color w:val="auto"/>
          <w:sz w:val="24"/>
          <w:highlight w:val="none"/>
        </w:rPr>
      </w:pPr>
      <w:r>
        <w:rPr>
          <w:rFonts w:ascii="Arial" w:hAnsi="Arial" w:cs="Arial"/>
          <w:color w:val="auto"/>
          <w:sz w:val="24"/>
          <w:highlight w:val="none"/>
        </w:rPr>
      </w:r>
      <w:r/>
    </w:p>
    <w:p>
      <w:pPr>
        <w:ind w:firstLine="373"/>
        <w:spacing w:line="360" w:lineRule="auto"/>
        <w:rPr>
          <w:rFonts w:ascii="Arial" w:hAnsi="Arial" w:cs="Arial"/>
          <w:b/>
          <w:bCs/>
          <w:color w:val="auto"/>
          <w:szCs w:val="21"/>
          <w:highlight w:val="none"/>
        </w:rPr>
      </w:pPr>
      <w:r>
        <w:rPr>
          <w:rFonts w:ascii="Arial" w:hAnsi="Arial" w:cs="Arial"/>
          <w:b/>
          <w:bCs/>
          <w:color w:val="auto"/>
          <w:szCs w:val="21"/>
          <w:highlight w:val="none"/>
        </w:rPr>
        <w:t xml:space="preserve">注：</w:t>
      </w:r>
      <w:r/>
    </w:p>
    <w:p>
      <w:pPr>
        <w:ind w:firstLine="420"/>
        <w:spacing w:line="360" w:lineRule="auto"/>
        <w:tabs>
          <w:tab w:val="left" w:pos="1080" w:leader="none"/>
          <w:tab w:val="left" w:pos="1589" w:leader="none"/>
        </w:tabs>
        <w:rPr>
          <w:rFonts w:ascii="Arial" w:hAnsi="Arial" w:cs="Arial"/>
          <w:color w:val="auto"/>
          <w:szCs w:val="21"/>
          <w:highlight w:val="none"/>
        </w:rPr>
      </w:pPr>
      <w:r/>
      <w:bookmarkStart w:id="262" w:name="_Toc91836565"/>
      <w:r>
        <w:rPr>
          <w:rFonts w:ascii="Arial" w:hAnsi="Arial" w:cs="Arial"/>
          <w:color w:val="auto"/>
          <w:szCs w:val="21"/>
          <w:highlight w:val="none"/>
        </w:rPr>
        <w:t xml:space="preserve">落实政府采购政策的价格调整：符合第二章《投标人须知</w:t>
      </w:r>
      <w:r>
        <w:rPr>
          <w:rFonts w:hint="eastAsia" w:ascii="Arial" w:hAnsi="Arial" w:cs="Arial"/>
          <w:color w:val="auto"/>
          <w:szCs w:val="21"/>
          <w:highlight w:val="none"/>
          <w:lang w:eastAsia="zh-CN"/>
        </w:rPr>
        <w:t xml:space="preserve">》第</w:t>
      </w:r>
      <w:r>
        <w:rPr>
          <w:rFonts w:ascii="Arial" w:hAnsi="Arial" w:cs="Arial"/>
          <w:color w:val="auto"/>
          <w:szCs w:val="21"/>
          <w:highlight w:val="none"/>
        </w:rPr>
        <w:t xml:space="preserve">4条规定情形的，可以享受中小企业扶持政策，用扣除后的价格参加评审。</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1、对于未预留份额专门面向中小企业采购的采购项目，以及预留份额项目中的非预留部分采购包，对小微企业报价给予</w:t>
      </w:r>
      <w:r>
        <w:rPr>
          <w:rFonts w:ascii="Arial" w:hAnsi="Arial" w:cs="Arial"/>
          <w:color w:val="auto"/>
          <w:szCs w:val="21"/>
          <w:highlight w:val="none"/>
          <w:u w:val="single"/>
        </w:rPr>
        <w:t xml:space="preserve">10%</w:t>
      </w:r>
      <w:r>
        <w:rPr>
          <w:rFonts w:ascii="Arial" w:hAnsi="Arial" w:cs="Arial"/>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Arial" w:hAnsi="Arial" w:cs="Arial"/>
          <w:color w:val="auto"/>
          <w:szCs w:val="21"/>
          <w:highlight w:val="none"/>
        </w:rPr>
      </w:pPr>
      <w:r>
        <w:rPr>
          <w:rFonts w:ascii="Arial" w:hAnsi="Arial" w:cs="Arial"/>
          <w:color w:val="auto"/>
          <w:szCs w:val="21"/>
          <w:highlight w:val="none"/>
        </w:rPr>
        <w:t xml:space="preserve">8、若投标人同时属于小型或微型企业、监狱企业、残疾人福利性单位中的两种及以上，将不重复享受小微企业价格扣减的优惠政策。</w:t>
      </w:r>
      <w:r/>
    </w:p>
    <w:p>
      <w:pPr>
        <w:jc w:val="left"/>
        <w:widowControl/>
        <w:rPr>
          <w:rFonts w:ascii="Arial" w:hAnsi="Arial" w:cs="Arial"/>
          <w:b/>
          <w:bCs/>
          <w:color w:val="auto"/>
          <w:sz w:val="32"/>
          <w:szCs w:val="32"/>
          <w:highlight w:val="none"/>
        </w:rPr>
      </w:pPr>
      <w:r/>
      <w:bookmarkStart w:id="263" w:name="_Toc107246273"/>
      <w:r>
        <w:rPr>
          <w:rFonts w:ascii="Arial" w:hAnsi="Arial" w:cs="Arial"/>
          <w:color w:val="auto"/>
          <w:highlight w:val="none"/>
        </w:rPr>
        <w:br w:type="page" w:clear="all"/>
      </w:r>
      <w:r/>
    </w:p>
    <w:p>
      <w:pPr>
        <w:pStyle w:val="738"/>
        <w:ind w:firstLine="569"/>
        <w:rPr>
          <w:rFonts w:ascii="Arial" w:hAnsi="Arial" w:cs="Arial"/>
          <w:color w:val="auto"/>
          <w:highlight w:val="none"/>
        </w:rPr>
      </w:pPr>
      <w:r>
        <w:rPr>
          <w:rFonts w:ascii="Arial" w:hAnsi="Arial" w:cs="Arial"/>
          <w:color w:val="auto"/>
          <w:highlight w:val="none"/>
        </w:rPr>
        <w:t xml:space="preserve">第六章 </w:t>
      </w:r>
      <w:bookmarkEnd w:id="262"/>
      <w:r>
        <w:rPr>
          <w:rFonts w:ascii="Arial" w:hAnsi="Arial" w:cs="Arial"/>
          <w:color w:val="auto"/>
          <w:highlight w:val="none"/>
        </w:rPr>
        <w:t xml:space="preserve">投标文件格式</w:t>
      </w:r>
      <w:bookmarkEnd w:id="263"/>
      <w:r/>
      <w:r/>
    </w:p>
    <w:p>
      <w:pPr>
        <w:ind w:firstLine="373"/>
        <w:spacing w:line="360" w:lineRule="auto"/>
        <w:rPr>
          <w:rFonts w:ascii="Arial" w:hAnsi="Arial" w:cs="Arial"/>
          <w:b/>
          <w:bCs/>
          <w:color w:val="auto"/>
          <w:highlight w:val="none"/>
        </w:rPr>
      </w:pPr>
      <w:r>
        <w:rPr>
          <w:rFonts w:ascii="Arial" w:hAnsi="Arial" w:cs="Arial"/>
          <w:b/>
          <w:bCs/>
          <w:color w:val="auto"/>
          <w:highlight w:val="none"/>
        </w:rPr>
        <w:t xml:space="preserve">注：请投标人按照以下文件的要求格式、内容，顺序制作投标文件，并请编制目录及页码，否则可能将影响对投标文件的评价。</w:t>
      </w:r>
      <w:r/>
    </w:p>
    <w:p>
      <w:pPr>
        <w:pStyle w:val="970"/>
        <w:ind w:firstLine="0"/>
        <w:spacing w:line="265" w:lineRule="atLeast"/>
        <w:shd w:val="clear" w:color="auto" w:fill="ffffff"/>
        <w:rPr>
          <w:rFonts w:ascii="Arial" w:hAnsi="Arial" w:eastAsia="宋体" w:cs="Arial"/>
          <w:b/>
          <w:color w:val="auto"/>
          <w:sz w:val="24"/>
          <w:highlight w:val="none"/>
        </w:rPr>
      </w:pPr>
      <w:r>
        <w:rPr>
          <w:rFonts w:ascii="Arial" w:hAnsi="Arial" w:eastAsia="宋体" w:cs="Arial"/>
          <w:b/>
          <w:color w:val="auto"/>
          <w:sz w:val="24"/>
          <w:highlight w:val="none"/>
        </w:rPr>
      </w:r>
      <w:r/>
    </w:p>
    <w:p>
      <w:pPr>
        <w:jc w:val="left"/>
        <w:spacing w:before="100" w:after="100" w:line="360" w:lineRule="auto"/>
        <w:rPr>
          <w:rFonts w:ascii="Arial" w:hAnsi="Arial" w:cs="Arial"/>
          <w:color w:val="auto"/>
          <w:sz w:val="24"/>
          <w:highlight w:val="none"/>
        </w:rPr>
      </w:pPr>
      <w:r/>
      <w:bookmarkStart w:id="264" w:name="_Toc96347900"/>
      <w:r>
        <w:rPr>
          <w:rFonts w:ascii="Arial" w:hAnsi="Arial" w:cs="Arial"/>
          <w:color w:val="auto"/>
          <w:sz w:val="24"/>
          <w:highlight w:val="none"/>
        </w:rPr>
        <w:br w:type="page" w:clear="all"/>
      </w:r>
      <w:r>
        <w:rPr>
          <w:rFonts w:ascii="Arial" w:hAnsi="Arial" w:cs="Arial"/>
          <w:b/>
          <w:color w:val="auto"/>
          <w:sz w:val="40"/>
          <w:szCs w:val="60"/>
          <w:highlight w:val="none"/>
        </w:rPr>
        <w:t xml:space="preserve">附件</w:t>
      </w:r>
      <w:r/>
    </w:p>
    <w:p>
      <w:pPr>
        <w:pStyle w:val="721"/>
        <w:ind w:firstLine="995"/>
        <w:jc w:val="center"/>
        <w:rPr>
          <w:rFonts w:ascii="Arial" w:hAnsi="Arial" w:cs="Arial"/>
          <w:b/>
          <w:color w:val="auto"/>
          <w:sz w:val="56"/>
          <w:szCs w:val="56"/>
          <w:highlight w:val="none"/>
        </w:rPr>
      </w:pPr>
      <w:r>
        <w:rPr>
          <w:rFonts w:ascii="Arial" w:hAnsi="Arial" w:cs="Arial"/>
          <w:b/>
          <w:color w:val="auto"/>
          <w:sz w:val="56"/>
          <w:szCs w:val="56"/>
          <w:highlight w:val="none"/>
        </w:rPr>
      </w:r>
      <w:r/>
    </w:p>
    <w:p>
      <w:pPr>
        <w:pStyle w:val="721"/>
        <w:jc w:val="center"/>
        <w:rPr>
          <w:rFonts w:ascii="Arial" w:hAnsi="Arial" w:cs="Arial"/>
          <w:b/>
          <w:color w:val="auto"/>
          <w:sz w:val="56"/>
          <w:szCs w:val="56"/>
          <w:highlight w:val="none"/>
        </w:rPr>
      </w:pPr>
      <w:r>
        <w:rPr>
          <w:rFonts w:ascii="Arial" w:hAnsi="Arial" w:cs="Arial"/>
          <w:b/>
          <w:color w:val="auto"/>
          <w:sz w:val="56"/>
          <w:szCs w:val="56"/>
          <w:highlight w:val="none"/>
        </w:rPr>
      </w:r>
      <w:r/>
    </w:p>
    <w:p>
      <w:pPr>
        <w:ind w:firstLine="372"/>
        <w:rPr>
          <w:rFonts w:ascii="Arial" w:hAnsi="Arial" w:cs="Arial"/>
          <w:color w:val="auto"/>
          <w:highlight w:val="none"/>
        </w:rPr>
      </w:pPr>
      <w:r>
        <w:rPr>
          <w:rFonts w:ascii="Arial" w:hAnsi="Arial" w:cs="Arial"/>
          <w:color w:val="auto"/>
          <w:highlight w:val="none"/>
        </w:rPr>
      </w:r>
      <w:r/>
    </w:p>
    <w:p>
      <w:pPr>
        <w:ind w:left="1673"/>
        <w:spacing w:before="231" w:line="222" w:lineRule="auto"/>
        <w:rPr>
          <w:rFonts w:hint="eastAsia" w:ascii="宋体" w:hAnsi="宋体" w:eastAsia="宋体" w:cs="宋体"/>
          <w:color w:val="auto"/>
          <w:sz w:val="71"/>
          <w:szCs w:val="71"/>
          <w:highlight w:val="none"/>
        </w:rPr>
      </w:pPr>
      <w:r>
        <w:rPr>
          <w:rFonts w:hint="eastAsia" w:ascii="宋体" w:hAnsi="宋体" w:eastAsia="宋体" w:cs="宋体"/>
          <w:b/>
          <w:color w:val="auto"/>
          <w:spacing w:val="-26"/>
          <w:sz w:val="71"/>
          <w:szCs w:val="71"/>
          <w:highlight w:val="none"/>
        </w:rPr>
        <w:t xml:space="preserve">投</w:t>
      </w:r>
      <w:r>
        <w:rPr>
          <w:rFonts w:hint="eastAsia" w:ascii="宋体" w:hAnsi="宋体" w:eastAsia="宋体" w:cs="宋体"/>
          <w:color w:val="auto"/>
          <w:spacing w:val="23"/>
          <w:sz w:val="71"/>
          <w:szCs w:val="71"/>
          <w:highlight w:val="none"/>
        </w:rPr>
        <w:t xml:space="preserve">  </w:t>
      </w:r>
      <w:r>
        <w:rPr>
          <w:rFonts w:hint="eastAsia" w:ascii="宋体" w:hAnsi="宋体" w:eastAsia="宋体" w:cs="宋体"/>
          <w:b/>
          <w:color w:val="auto"/>
          <w:spacing w:val="-26"/>
          <w:sz w:val="71"/>
          <w:szCs w:val="71"/>
          <w:highlight w:val="none"/>
        </w:rPr>
        <w:t xml:space="preserve">标</w:t>
      </w:r>
      <w:r>
        <w:rPr>
          <w:rFonts w:hint="eastAsia" w:ascii="宋体" w:hAnsi="宋体" w:eastAsia="宋体" w:cs="宋体"/>
          <w:color w:val="auto"/>
          <w:spacing w:val="26"/>
          <w:sz w:val="71"/>
          <w:szCs w:val="71"/>
          <w:highlight w:val="none"/>
        </w:rPr>
        <w:t xml:space="preserve">  </w:t>
      </w:r>
      <w:r>
        <w:rPr>
          <w:rFonts w:hint="eastAsia" w:ascii="宋体" w:hAnsi="宋体" w:eastAsia="宋体" w:cs="宋体"/>
          <w:b/>
          <w:color w:val="auto"/>
          <w:spacing w:val="-26"/>
          <w:sz w:val="71"/>
          <w:szCs w:val="71"/>
          <w:highlight w:val="none"/>
        </w:rPr>
        <w:t xml:space="preserve">文</w:t>
      </w:r>
      <w:r>
        <w:rPr>
          <w:rFonts w:hint="eastAsia" w:ascii="宋体" w:hAnsi="宋体" w:eastAsia="宋体" w:cs="宋体"/>
          <w:color w:val="auto"/>
          <w:spacing w:val="20"/>
          <w:sz w:val="71"/>
          <w:szCs w:val="71"/>
          <w:highlight w:val="none"/>
        </w:rPr>
        <w:t xml:space="preserve">  </w:t>
      </w:r>
      <w:r>
        <w:rPr>
          <w:rFonts w:hint="eastAsia" w:ascii="宋体" w:hAnsi="宋体" w:eastAsia="宋体" w:cs="宋体"/>
          <w:b/>
          <w:color w:val="auto"/>
          <w:spacing w:val="-26"/>
          <w:sz w:val="71"/>
          <w:szCs w:val="71"/>
          <w:highlight w:val="none"/>
        </w:rPr>
        <w:t xml:space="preserve">件</w:t>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2" w:lineRule="auto"/>
        <w:rPr>
          <w:rFonts w:hint="default"/>
          <w:color w:val="auto"/>
          <w:sz w:val="21"/>
          <w:szCs w:val="21"/>
          <w:highlight w:val="none"/>
        </w:rPr>
      </w:pPr>
      <w:r>
        <w:rPr>
          <w:rFonts w:hint="default"/>
          <w:color w:val="auto"/>
          <w:sz w:val="21"/>
          <w:szCs w:val="21"/>
          <w:highlight w:val="none"/>
        </w:rPr>
      </w:r>
      <w:r/>
    </w:p>
    <w:p>
      <w:pPr>
        <w:pStyle w:val="715"/>
        <w:spacing w:line="243" w:lineRule="auto"/>
        <w:rPr>
          <w:rFonts w:hint="default"/>
          <w:color w:val="auto"/>
          <w:sz w:val="21"/>
          <w:szCs w:val="21"/>
          <w:highlight w:val="none"/>
        </w:rPr>
      </w:pPr>
      <w:r>
        <w:rPr>
          <w:rFonts w:hint="default"/>
          <w:color w:val="auto"/>
          <w:sz w:val="21"/>
          <w:szCs w:val="21"/>
          <w:highlight w:val="none"/>
        </w:rPr>
      </w:r>
      <w:r/>
    </w:p>
    <w:p>
      <w:pPr>
        <w:pStyle w:val="715"/>
        <w:spacing w:line="243" w:lineRule="auto"/>
        <w:rPr>
          <w:rFonts w:hint="default"/>
          <w:color w:val="auto"/>
          <w:sz w:val="21"/>
          <w:szCs w:val="21"/>
          <w:highlight w:val="none"/>
        </w:rPr>
      </w:pPr>
      <w:r>
        <w:rPr>
          <w:rFonts w:hint="default"/>
          <w:color w:val="auto"/>
          <w:sz w:val="21"/>
          <w:szCs w:val="21"/>
          <w:highlight w:val="none"/>
        </w:rPr>
      </w:r>
      <w:r/>
    </w:p>
    <w:p>
      <w:pPr>
        <w:ind w:left="393" w:right="2174"/>
        <w:jc w:val="both"/>
        <w:spacing w:before="114" w:line="296" w:lineRule="auto"/>
        <w:tabs>
          <w:tab w:val="left" w:pos="6155" w:leader="none"/>
        </w:tabs>
        <w:rPr>
          <w:rFonts w:hint="eastAsia" w:ascii="宋体" w:hAnsi="宋体" w:eastAsia="宋体" w:cs="宋体"/>
          <w:color w:val="auto"/>
          <w:sz w:val="35"/>
          <w:szCs w:val="35"/>
          <w:highlight w:val="none"/>
        </w:rPr>
      </w:pPr>
      <w:r>
        <w:rPr>
          <w:rFonts w:hint="eastAsia" w:ascii="宋体" w:hAnsi="宋体" w:eastAsia="宋体" w:cs="宋体"/>
          <w:b/>
          <w:color w:val="auto"/>
          <w:spacing w:val="-30"/>
          <w:sz w:val="35"/>
          <w:szCs w:val="35"/>
          <w:highlight w:val="none"/>
        </w:rPr>
        <w:t xml:space="preserve">项</w:t>
      </w:r>
      <w:r>
        <w:rPr>
          <w:rFonts w:hint="eastAsia" w:ascii="宋体" w:hAnsi="宋体" w:eastAsia="宋体" w:cs="宋体"/>
          <w:color w:val="auto"/>
          <w:spacing w:val="94"/>
          <w:sz w:val="35"/>
          <w:szCs w:val="35"/>
          <w:highlight w:val="none"/>
        </w:rPr>
        <w:t xml:space="preserve"> </w:t>
      </w:r>
      <w:r>
        <w:rPr>
          <w:rFonts w:hint="eastAsia" w:ascii="宋体" w:hAnsi="宋体" w:eastAsia="宋体" w:cs="宋体"/>
          <w:b/>
          <w:color w:val="auto"/>
          <w:spacing w:val="-30"/>
          <w:sz w:val="35"/>
          <w:szCs w:val="35"/>
          <w:highlight w:val="none"/>
        </w:rPr>
        <w:t xml:space="preserve">目</w:t>
      </w:r>
      <w:r>
        <w:rPr>
          <w:rFonts w:hint="eastAsia" w:ascii="宋体" w:hAnsi="宋体" w:eastAsia="宋体" w:cs="宋体"/>
          <w:color w:val="auto"/>
          <w:spacing w:val="25"/>
          <w:sz w:val="35"/>
          <w:szCs w:val="35"/>
          <w:highlight w:val="none"/>
        </w:rPr>
        <w:t xml:space="preserve"> </w:t>
      </w:r>
      <w:r>
        <w:rPr>
          <w:rFonts w:hint="eastAsia" w:ascii="宋体" w:hAnsi="宋体" w:eastAsia="宋体" w:cs="宋体"/>
          <w:b/>
          <w:color w:val="auto"/>
          <w:spacing w:val="-30"/>
          <w:sz w:val="35"/>
          <w:szCs w:val="35"/>
          <w:highlight w:val="none"/>
        </w:rPr>
        <w:t xml:space="preserve">名</w:t>
      </w:r>
      <w:r>
        <w:rPr>
          <w:rFonts w:hint="eastAsia" w:ascii="宋体" w:hAnsi="宋体" w:eastAsia="宋体" w:cs="宋体"/>
          <w:color w:val="auto"/>
          <w:spacing w:val="18"/>
          <w:sz w:val="35"/>
          <w:szCs w:val="35"/>
          <w:highlight w:val="none"/>
        </w:rPr>
        <w:t xml:space="preserve"> </w:t>
      </w:r>
      <w:r>
        <w:rPr>
          <w:rFonts w:hint="eastAsia" w:ascii="宋体" w:hAnsi="宋体" w:eastAsia="宋体" w:cs="宋体"/>
          <w:b/>
          <w:color w:val="auto"/>
          <w:spacing w:val="-30"/>
          <w:sz w:val="35"/>
          <w:szCs w:val="35"/>
          <w:highlight w:val="none"/>
        </w:rPr>
        <w:t xml:space="preserve">称</w:t>
      </w:r>
      <w:r>
        <w:rPr>
          <w:rFonts w:hint="eastAsia" w:ascii="宋体" w:hAnsi="宋体" w:eastAsia="宋体" w:cs="宋体"/>
          <w:color w:val="auto"/>
          <w:spacing w:val="-128"/>
          <w:sz w:val="35"/>
          <w:szCs w:val="35"/>
          <w:highlight w:val="none"/>
        </w:rPr>
        <w:t xml:space="preserve"> </w:t>
      </w:r>
      <w:r>
        <w:rPr>
          <w:rFonts w:hint="eastAsia" w:ascii="宋体" w:hAnsi="宋体" w:eastAsia="宋体" w:cs="宋体"/>
          <w:b/>
          <w:color w:val="auto"/>
          <w:spacing w:val="-30"/>
          <w:sz w:val="35"/>
          <w:szCs w:val="35"/>
          <w:highlight w:val="none"/>
        </w:rPr>
        <w:t xml:space="preserve">：</w:t>
      </w:r>
      <w:r>
        <w:rPr>
          <w:rFonts w:hint="eastAsia" w:ascii="宋体" w:hAnsi="宋体" w:eastAsia="宋体" w:cs="宋体"/>
          <w:color w:val="auto"/>
          <w:sz w:val="35"/>
          <w:szCs w:val="35"/>
          <w:highlight w:val="none"/>
          <w:u w:val="single"/>
        </w:rPr>
        <w:tab/>
      </w:r>
      <w:r>
        <w:rPr>
          <w:rFonts w:hint="eastAsia" w:ascii="宋体" w:hAnsi="宋体" w:eastAsia="宋体" w:cs="宋体"/>
          <w:color w:val="auto"/>
          <w:sz w:val="35"/>
          <w:szCs w:val="35"/>
          <w:highlight w:val="none"/>
        </w:rPr>
        <w:t xml:space="preserve"> </w:t>
      </w:r>
      <w:r>
        <w:rPr>
          <w:rFonts w:hint="eastAsia" w:ascii="宋体" w:hAnsi="宋体" w:eastAsia="宋体" w:cs="宋体"/>
          <w:b/>
          <w:color w:val="auto"/>
          <w:spacing w:val="-31"/>
          <w:sz w:val="35"/>
          <w:szCs w:val="35"/>
          <w:highlight w:val="none"/>
        </w:rPr>
        <w:t xml:space="preserve">项</w:t>
      </w:r>
      <w:r>
        <w:rPr>
          <w:rFonts w:hint="eastAsia" w:ascii="宋体" w:hAnsi="宋体" w:eastAsia="宋体" w:cs="宋体"/>
          <w:color w:val="auto"/>
          <w:spacing w:val="90"/>
          <w:sz w:val="35"/>
          <w:szCs w:val="35"/>
          <w:highlight w:val="none"/>
        </w:rPr>
        <w:t xml:space="preserve"> </w:t>
      </w:r>
      <w:r>
        <w:rPr>
          <w:rFonts w:hint="eastAsia" w:ascii="宋体" w:hAnsi="宋体" w:eastAsia="宋体" w:cs="宋体"/>
          <w:b/>
          <w:color w:val="auto"/>
          <w:spacing w:val="-31"/>
          <w:sz w:val="35"/>
          <w:szCs w:val="35"/>
          <w:highlight w:val="none"/>
        </w:rPr>
        <w:t xml:space="preserve">目</w:t>
      </w:r>
      <w:r>
        <w:rPr>
          <w:rFonts w:hint="eastAsia" w:ascii="宋体" w:hAnsi="宋体" w:eastAsia="宋体" w:cs="宋体"/>
          <w:color w:val="auto"/>
          <w:spacing w:val="24"/>
          <w:sz w:val="35"/>
          <w:szCs w:val="35"/>
          <w:highlight w:val="none"/>
        </w:rPr>
        <w:t xml:space="preserve"> </w:t>
      </w:r>
      <w:r>
        <w:rPr>
          <w:rFonts w:hint="eastAsia" w:ascii="宋体" w:hAnsi="宋体" w:eastAsia="宋体" w:cs="宋体"/>
          <w:b/>
          <w:color w:val="auto"/>
          <w:spacing w:val="-31"/>
          <w:sz w:val="35"/>
          <w:szCs w:val="35"/>
          <w:highlight w:val="none"/>
        </w:rPr>
        <w:t xml:space="preserve">编</w:t>
      </w:r>
      <w:r>
        <w:rPr>
          <w:rFonts w:hint="eastAsia" w:ascii="宋体" w:hAnsi="宋体" w:eastAsia="宋体" w:cs="宋体"/>
          <w:color w:val="auto"/>
          <w:spacing w:val="28"/>
          <w:sz w:val="35"/>
          <w:szCs w:val="35"/>
          <w:highlight w:val="none"/>
        </w:rPr>
        <w:t xml:space="preserve"> </w:t>
      </w:r>
      <w:r>
        <w:rPr>
          <w:rFonts w:hint="eastAsia" w:ascii="宋体" w:hAnsi="宋体" w:eastAsia="宋体" w:cs="宋体"/>
          <w:b/>
          <w:color w:val="auto"/>
          <w:spacing w:val="-31"/>
          <w:sz w:val="35"/>
          <w:szCs w:val="35"/>
          <w:highlight w:val="none"/>
        </w:rPr>
        <w:t xml:space="preserve">号</w:t>
      </w:r>
      <w:r>
        <w:rPr>
          <w:rFonts w:hint="eastAsia" w:ascii="宋体" w:hAnsi="宋体" w:eastAsia="宋体" w:cs="宋体"/>
          <w:color w:val="auto"/>
          <w:spacing w:val="-128"/>
          <w:sz w:val="35"/>
          <w:szCs w:val="35"/>
          <w:highlight w:val="none"/>
        </w:rPr>
        <w:t xml:space="preserve"> </w:t>
      </w:r>
      <w:r>
        <w:rPr>
          <w:rFonts w:hint="eastAsia" w:ascii="宋体" w:hAnsi="宋体" w:eastAsia="宋体" w:cs="宋体"/>
          <w:b/>
          <w:color w:val="auto"/>
          <w:spacing w:val="-31"/>
          <w:sz w:val="35"/>
          <w:szCs w:val="35"/>
          <w:highlight w:val="none"/>
        </w:rPr>
        <w:t xml:space="preserve">：</w:t>
      </w:r>
      <w:r>
        <w:rPr>
          <w:rFonts w:hint="eastAsia" w:ascii="宋体" w:hAnsi="宋体" w:eastAsia="宋体" w:cs="宋体"/>
          <w:color w:val="auto"/>
          <w:sz w:val="35"/>
          <w:szCs w:val="35"/>
          <w:highlight w:val="none"/>
          <w:u w:val="single"/>
        </w:rPr>
        <w:tab/>
      </w:r>
      <w:r>
        <w:rPr>
          <w:rFonts w:hint="eastAsia" w:ascii="宋体" w:hAnsi="宋体" w:eastAsia="宋体" w:cs="宋体"/>
          <w:color w:val="auto"/>
          <w:sz w:val="35"/>
          <w:szCs w:val="35"/>
          <w:highlight w:val="none"/>
        </w:rPr>
        <w:t xml:space="preserve"> </w:t>
      </w:r>
      <w:r>
        <w:rPr>
          <w:rFonts w:hint="eastAsia" w:ascii="宋体" w:hAnsi="宋体" w:eastAsia="宋体" w:cs="宋体"/>
          <w:b/>
          <w:color w:val="auto"/>
          <w:spacing w:val="9"/>
          <w:sz w:val="35"/>
          <w:szCs w:val="35"/>
          <w:highlight w:val="none"/>
        </w:rPr>
        <w:t xml:space="preserve">投标人名称</w:t>
      </w:r>
      <w:r>
        <w:rPr>
          <w:rFonts w:hint="eastAsia" w:ascii="宋体" w:hAnsi="宋体" w:eastAsia="宋体" w:cs="宋体"/>
          <w:color w:val="auto"/>
          <w:spacing w:val="54"/>
          <w:sz w:val="35"/>
          <w:szCs w:val="35"/>
          <w:highlight w:val="none"/>
        </w:rPr>
        <w:t xml:space="preserve"> </w:t>
      </w:r>
      <w:r>
        <w:rPr>
          <w:rFonts w:hint="eastAsia" w:ascii="宋体" w:hAnsi="宋体" w:eastAsia="宋体" w:cs="宋体"/>
          <w:b/>
          <w:color w:val="auto"/>
          <w:spacing w:val="-39"/>
          <w:sz w:val="35"/>
          <w:szCs w:val="35"/>
          <w:highlight w:val="none"/>
        </w:rPr>
        <w:t xml:space="preserve">：</w:t>
      </w:r>
      <w:r>
        <w:rPr>
          <w:rFonts w:hint="eastAsia" w:ascii="宋体" w:hAnsi="宋体" w:eastAsia="宋体" w:cs="宋体"/>
          <w:b/>
          <w:color w:val="auto"/>
          <w:spacing w:val="-39"/>
          <w:sz w:val="35"/>
          <w:szCs w:val="35"/>
          <w:highlight w:val="none"/>
          <w:u w:val="single"/>
        </w:rPr>
        <w:t xml:space="preserve">（</w:t>
      </w:r>
      <w:r>
        <w:rPr>
          <w:rFonts w:hint="eastAsia" w:ascii="宋体" w:hAnsi="宋体" w:eastAsia="宋体" w:cs="宋体"/>
          <w:b/>
          <w:color w:val="auto"/>
          <w:spacing w:val="9"/>
          <w:sz w:val="35"/>
          <w:szCs w:val="35"/>
          <w:highlight w:val="none"/>
          <w:u w:val="single"/>
        </w:rPr>
        <w:t xml:space="preserve">加盖电子公章）</w:t>
      </w:r>
      <w:r>
        <w:rPr>
          <w:rFonts w:hint="eastAsia" w:ascii="宋体" w:hAnsi="宋体" w:eastAsia="宋体" w:cs="宋体"/>
          <w:color w:val="auto"/>
          <w:sz w:val="35"/>
          <w:szCs w:val="35"/>
          <w:highlight w:val="none"/>
          <w:u w:val="single"/>
        </w:rPr>
        <w:t xml:space="preserve">    </w:t>
      </w:r>
      <w:r/>
    </w:p>
    <w:p>
      <w:pPr>
        <w:ind w:left="454"/>
        <w:spacing w:before="57" w:line="225" w:lineRule="auto"/>
        <w:rPr>
          <w:rFonts w:hint="eastAsia" w:ascii="宋体" w:hAnsi="宋体" w:eastAsia="宋体" w:cs="宋体"/>
          <w:color w:val="auto"/>
          <w:sz w:val="35"/>
          <w:szCs w:val="35"/>
          <w:highlight w:val="none"/>
        </w:rPr>
      </w:pPr>
      <w:r>
        <w:rPr>
          <w:rFonts w:hint="eastAsia" w:ascii="宋体" w:hAnsi="宋体" w:eastAsia="宋体" w:cs="宋体"/>
          <w:b/>
          <w:color w:val="auto"/>
          <w:spacing w:val="-21"/>
          <w:sz w:val="35"/>
          <w:szCs w:val="35"/>
          <w:highlight w:val="none"/>
        </w:rPr>
        <w:t xml:space="preserve">日</w:t>
      </w:r>
      <w:r>
        <w:rPr>
          <w:rFonts w:hint="eastAsia" w:ascii="宋体" w:hAnsi="宋体" w:eastAsia="宋体" w:cs="宋体"/>
          <w:color w:val="auto"/>
          <w:spacing w:val="-21"/>
          <w:sz w:val="35"/>
          <w:szCs w:val="35"/>
          <w:highlight w:val="none"/>
        </w:rPr>
        <w:t xml:space="preserve">       </w:t>
      </w:r>
      <w:r>
        <w:rPr>
          <w:rFonts w:hint="eastAsia" w:ascii="宋体" w:hAnsi="宋体" w:eastAsia="宋体" w:cs="宋体"/>
          <w:b/>
          <w:color w:val="auto"/>
          <w:spacing w:val="-21"/>
          <w:sz w:val="35"/>
          <w:szCs w:val="35"/>
          <w:highlight w:val="none"/>
        </w:rPr>
        <w:t xml:space="preserve">期</w:t>
      </w:r>
      <w:r>
        <w:rPr>
          <w:rFonts w:hint="eastAsia" w:ascii="宋体" w:hAnsi="宋体" w:eastAsia="宋体" w:cs="宋体"/>
          <w:color w:val="auto"/>
          <w:spacing w:val="65"/>
          <w:sz w:val="35"/>
          <w:szCs w:val="35"/>
          <w:highlight w:val="none"/>
        </w:rPr>
        <w:t xml:space="preserve"> </w:t>
      </w:r>
      <w:r>
        <w:rPr>
          <w:rFonts w:hint="eastAsia" w:ascii="宋体" w:hAnsi="宋体" w:eastAsia="宋体" w:cs="宋体"/>
          <w:b/>
          <w:color w:val="auto"/>
          <w:spacing w:val="-21"/>
          <w:sz w:val="35"/>
          <w:szCs w:val="35"/>
          <w:highlight w:val="none"/>
        </w:rPr>
        <w:t xml:space="preserve">：</w:t>
      </w:r>
      <w:r>
        <w:rPr>
          <w:rFonts w:hint="eastAsia" w:ascii="宋体" w:hAnsi="宋体" w:eastAsia="宋体" w:cs="宋体"/>
          <w:color w:val="auto"/>
          <w:spacing w:val="-21"/>
          <w:sz w:val="35"/>
          <w:szCs w:val="35"/>
          <w:highlight w:val="none"/>
          <w:u w:val="single"/>
        </w:rPr>
        <w:t xml:space="preserve">                      </w:t>
      </w:r>
      <w:r/>
    </w:p>
    <w:p>
      <w:pPr>
        <w:spacing w:line="225" w:lineRule="auto"/>
        <w:rPr>
          <w:rFonts w:hint="eastAsia" w:ascii="宋体" w:hAnsi="宋体" w:eastAsia="宋体" w:cs="宋体"/>
          <w:color w:val="auto"/>
          <w:sz w:val="35"/>
          <w:szCs w:val="35"/>
          <w:highlight w:val="none"/>
        </w:rPr>
        <w:sectPr>
          <w:footerReference w:type="default" r:id="rId11"/>
          <w:footnotePr/>
          <w:endnotePr/>
          <w:type w:val="nextPage"/>
          <w:pgSz w:w="11906" w:h="16839" w:orient="portrait"/>
          <w:pgMar w:top="1431" w:right="1785" w:bottom="1060" w:left="1785" w:header="0" w:footer="885" w:gutter="0"/>
          <w:lnNumType w:countBy="0" w:distance="360"/>
          <w:cols w:num="1" w:sep="0" w:space="720" w:equalWidth="1"/>
          <w:docGrid w:linePitch="360"/>
        </w:sectPr>
      </w:pPr>
      <w:r>
        <w:rPr>
          <w:rFonts w:hint="eastAsia" w:ascii="宋体" w:hAnsi="宋体" w:eastAsia="宋体" w:cs="宋体"/>
          <w:color w:val="auto"/>
          <w:sz w:val="35"/>
          <w:szCs w:val="35"/>
          <w:highlight w:val="none"/>
        </w:rPr>
      </w:r>
      <w:r/>
    </w:p>
    <w:p>
      <w:pPr>
        <w:ind w:firstLine="569"/>
        <w:jc w:val="center"/>
        <w:rPr>
          <w:rFonts w:ascii="Arial" w:hAnsi="Arial" w:cs="Arial"/>
          <w:b/>
          <w:color w:val="auto"/>
          <w:sz w:val="28"/>
          <w:highlight w:val="none"/>
        </w:rPr>
      </w:pPr>
      <w:r>
        <w:rPr>
          <w:rFonts w:ascii="Arial" w:hAnsi="Arial" w:cs="Arial"/>
          <w:b/>
          <w:color w:val="auto"/>
          <w:sz w:val="32"/>
          <w:highlight w:val="none"/>
        </w:rPr>
        <w:t xml:space="preserve">目录</w:t>
      </w:r>
      <w:r/>
    </w:p>
    <w:p>
      <w:pPr>
        <w:pStyle w:val="721"/>
        <w:ind w:firstLine="373"/>
        <w:spacing w:line="300" w:lineRule="exact"/>
        <w:rPr>
          <w:rFonts w:ascii="Arial" w:hAnsi="Arial" w:cs="Arial"/>
          <w:b/>
          <w:color w:val="auto"/>
          <w:highlight w:val="none"/>
        </w:rPr>
      </w:pPr>
      <w:r>
        <w:rPr>
          <w:rFonts w:ascii="Arial" w:hAnsi="Arial" w:cs="Arial"/>
          <w:b/>
          <w:color w:val="auto"/>
          <w:highlight w:val="none"/>
        </w:rPr>
        <w:t xml:space="preserve">一、价格及商务部分</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（1）投标函，格式见附件。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（2）法定代表人（非法人单位负责人）身份证明，格式见附件。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（3）法定代表人授权委托书（适用于法人/非法人），格式见附件。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（4）开标一览表，格式见附件。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（5）分项报价表，格式见附件。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（6）商务条款偏离表，格式见附件。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（7）投标人具备投标资格的证明文件（如为南京市政府采购项目，按照公告要求提供）：</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（7-1-1）营业执照复印件或自然人的身份证明复印件（或具有同等法律效力的证照），格式见附件。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（7-1-2）工商变更登记文件（如需），如发生了单位名称等变更的，需提供工商变更登记文件。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（7-2）财务报表等证明文件。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（7-4）依法缴纳税收的相关材料，格式见附件。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（7-5）依法缴纳社会保障资金的相关材料，格式见附件。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（7-6）参加政府采购活动前三年内，在经营活动中没有重大违法记录，格式见附件。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（7-7）无不良信用记录承诺函（投标人自行查询适用），格式见附件。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（7-8）招标文件要求的</w:t>
      </w:r>
      <w:r>
        <w:rPr>
          <w:rFonts w:hint="eastAsia" w:ascii="Arial" w:hAnsi="Arial" w:cs="Arial"/>
          <w:color w:val="auto"/>
          <w:szCs w:val="21"/>
          <w:highlight w:val="none"/>
          <w:lang w:eastAsia="zh-CN"/>
        </w:rPr>
        <w:t xml:space="preserve">其他</w:t>
      </w:r>
      <w:r>
        <w:rPr>
          <w:rFonts w:ascii="Arial" w:hAnsi="Arial" w:cs="Arial"/>
          <w:color w:val="auto"/>
          <w:szCs w:val="21"/>
          <w:highlight w:val="none"/>
        </w:rPr>
        <w:t xml:space="preserve">实质性资格资信证明文件。</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（8）《南京市政府采购供应商信用记录表暨信用承诺书》</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（9）公章授权书（如需），格式见附件。</w:t>
      </w:r>
      <w:r/>
    </w:p>
    <w:p>
      <w:pPr>
        <w:ind w:firstLine="372"/>
        <w:jc w:val="left"/>
        <w:spacing w:line="300" w:lineRule="exact"/>
        <w:rPr>
          <w:rFonts w:hint="default" w:ascii="Arial" w:hAnsi="Arial" w:eastAsia="宋体" w:cs="Arial"/>
          <w:color w:val="auto"/>
          <w:szCs w:val="21"/>
          <w:highlight w:val="none"/>
          <w:lang w:val="en-US" w:eastAsia="zh-CN"/>
        </w:rPr>
      </w:pPr>
      <w:r>
        <w:rPr>
          <w:rFonts w:ascii="Arial" w:hAnsi="Arial" w:cs="Arial"/>
          <w:color w:val="auto"/>
          <w:szCs w:val="21"/>
          <w:highlight w:val="none"/>
        </w:rPr>
        <w:t xml:space="preserve">（10）</w:t>
      </w:r>
      <w:r>
        <w:rPr>
          <w:rFonts w:hint="eastAsia" w:ascii="Arial" w:hAnsi="Arial" w:cs="Arial"/>
          <w:color w:val="auto"/>
          <w:szCs w:val="21"/>
          <w:highlight w:val="none"/>
          <w:lang w:val="en-US" w:eastAsia="zh-CN"/>
        </w:rPr>
        <w:t xml:space="preserve">招标文件</w:t>
      </w:r>
      <w:r>
        <w:rPr>
          <w:rFonts w:hint="eastAsia" w:ascii="Arial" w:hAnsi="Arial" w:cs="Arial"/>
          <w:color w:val="auto"/>
          <w:szCs w:val="21"/>
          <w:highlight w:val="none"/>
        </w:rPr>
        <w:t xml:space="preserve">资格</w:t>
      </w:r>
      <w:r>
        <w:rPr>
          <w:rFonts w:hint="eastAsia" w:ascii="Arial" w:hAnsi="Arial" w:cs="Arial"/>
          <w:color w:val="auto"/>
          <w:szCs w:val="21"/>
          <w:highlight w:val="none"/>
          <w:lang w:val="en-US" w:eastAsia="zh-CN"/>
        </w:rPr>
        <w:t xml:space="preserve">证明</w:t>
      </w:r>
      <w:r>
        <w:rPr>
          <w:rFonts w:hint="eastAsia" w:ascii="Arial" w:hAnsi="Arial" w:cs="Arial"/>
          <w:color w:val="auto"/>
          <w:szCs w:val="21"/>
          <w:highlight w:val="none"/>
        </w:rPr>
        <w:t xml:space="preserve">部分</w:t>
      </w:r>
      <w:r>
        <w:rPr>
          <w:rFonts w:hint="eastAsia" w:ascii="Arial" w:hAnsi="Arial" w:cs="Arial"/>
          <w:color w:val="auto"/>
          <w:szCs w:val="21"/>
          <w:highlight w:val="none"/>
          <w:lang w:val="en-US" w:eastAsia="zh-CN"/>
        </w:rPr>
        <w:t xml:space="preserve">其他需要补充的内容</w:t>
      </w:r>
      <w:r/>
    </w:p>
    <w:p>
      <w:pPr>
        <w:pStyle w:val="721"/>
        <w:ind w:firstLine="373"/>
        <w:spacing w:line="300" w:lineRule="exact"/>
        <w:rPr>
          <w:rFonts w:ascii="Arial" w:hAnsi="Arial" w:cs="Arial"/>
          <w:b/>
          <w:color w:val="auto"/>
          <w:highlight w:val="none"/>
        </w:rPr>
      </w:pPr>
      <w:r>
        <w:rPr>
          <w:rFonts w:ascii="Arial" w:hAnsi="Arial" w:cs="Arial"/>
          <w:b/>
          <w:color w:val="auto"/>
          <w:highlight w:val="none"/>
        </w:rPr>
        <w:t xml:space="preserve">二、技术部分</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（1）技术条款偏离表</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（2）</w:t>
      </w:r>
      <w:r>
        <w:rPr>
          <w:rFonts w:hint="eastAsia" w:ascii="Arial" w:hAnsi="Arial" w:cs="Arial"/>
          <w:color w:val="auto"/>
          <w:szCs w:val="21"/>
          <w:highlight w:val="none"/>
        </w:rPr>
        <w:t xml:space="preserve">技术方案或服务方案</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（3）投标人售后服务承诺（如需）</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（4）用于本项目人员简历表（如需）</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（5）用于本项目人员表</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（6）用于本项目设备</w:t>
      </w:r>
      <w:r/>
    </w:p>
    <w:p>
      <w:pPr>
        <w:pStyle w:val="721"/>
        <w:ind w:firstLine="373"/>
        <w:spacing w:line="300" w:lineRule="exact"/>
        <w:rPr>
          <w:rFonts w:ascii="Arial" w:hAnsi="Arial" w:cs="Arial"/>
          <w:b/>
          <w:color w:val="auto"/>
          <w:highlight w:val="none"/>
        </w:rPr>
      </w:pPr>
      <w:r>
        <w:rPr>
          <w:rFonts w:ascii="Arial" w:hAnsi="Arial" w:cs="Arial"/>
          <w:b/>
          <w:color w:val="auto"/>
          <w:highlight w:val="none"/>
        </w:rPr>
        <w:t xml:space="preserve">三、其他部分</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（1）要求投标人提交的其他文件材料或证明材料</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（2）投标人认为需提供的其他文件或证明材料</w:t>
      </w:r>
      <w:r/>
    </w:p>
    <w:p>
      <w:pPr>
        <w:ind w:firstLine="372"/>
        <w:jc w:val="left"/>
        <w:spacing w:line="300" w:lineRule="exact"/>
        <w:rPr>
          <w:rFonts w:ascii="Arial" w:hAnsi="Arial" w:cs="Arial"/>
          <w:color w:val="auto"/>
          <w:szCs w:val="21"/>
          <w:highlight w:val="none"/>
        </w:rPr>
      </w:pPr>
      <w:r>
        <w:rPr>
          <w:rFonts w:ascii="Arial" w:hAnsi="Arial" w:cs="Arial"/>
          <w:color w:val="auto"/>
          <w:szCs w:val="21"/>
          <w:highlight w:val="none"/>
        </w:rPr>
        <w:t xml:space="preserve">（3）提供符合政府采购政策的证明材料</w:t>
      </w:r>
      <w:r/>
    </w:p>
    <w:p>
      <w:pPr>
        <w:pStyle w:val="721"/>
        <w:ind w:firstLine="372"/>
        <w:jc w:val="center"/>
        <w:spacing w:line="300" w:lineRule="exact"/>
        <w:rPr>
          <w:rFonts w:ascii="Arial" w:hAnsi="Arial" w:cs="Arial"/>
          <w:color w:val="auto"/>
          <w:sz w:val="28"/>
          <w:szCs w:val="28"/>
          <w:highlight w:val="none"/>
        </w:rPr>
      </w:pPr>
      <w:r>
        <w:rPr>
          <w:rFonts w:ascii="Arial" w:hAnsi="Arial" w:cs="Arial"/>
          <w:color w:val="auto"/>
          <w:highlight w:val="none"/>
        </w:rPr>
        <w:br w:type="page" w:clear="all"/>
      </w:r>
      <w:r>
        <w:rPr>
          <w:rFonts w:ascii="Arial" w:hAnsi="Arial" w:cs="Arial"/>
          <w:b/>
          <w:bCs/>
          <w:color w:val="auto"/>
          <w:sz w:val="28"/>
          <w:szCs w:val="28"/>
          <w:highlight w:val="none"/>
        </w:rPr>
        <w:t xml:space="preserve">评标索引</w:t>
      </w:r>
      <w:bookmarkEnd w:id="264"/>
      <w:r/>
      <w:r/>
    </w:p>
    <w:p>
      <w:pPr>
        <w:jc w:val="left"/>
        <w:spacing w:before="156" w:after="156" w:line="360" w:lineRule="auto"/>
        <w:rPr>
          <w:rFonts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投标人全称（加盖投标人CA公章）：</w:t>
      </w:r>
      <w:r>
        <w:rPr>
          <w:rFonts w:hint="eastAsia" w:ascii="Times New Roman" w:hAnsi="Times New Roman" w:eastAsia="宋体" w:cs="Times New Roman"/>
          <w:color w:val="auto"/>
          <w:sz w:val="24"/>
          <w:szCs w:val="24"/>
          <w:highlight w:val="none"/>
          <w:u w:val="single"/>
          <w:lang w:eastAsia="zh-CN"/>
        </w:rPr>
        <w:t xml:space="preserve">                            </w:t>
      </w:r>
      <w:r/>
    </w:p>
    <w:tbl>
      <w:tblPr>
        <w:tblStyle w:val="707"/>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序号</w:t>
            </w:r>
            <w:r/>
          </w:p>
        </w:tc>
        <w:tc>
          <w:tcPr>
            <w:tcW w:w="4838" w:type="dxa"/>
            <w:vAlign w:val="center"/>
            <w:textDirection w:val="lrTb"/>
            <w:noWrap w:val="false"/>
          </w:tcPr>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资格性和符合性检查响应内容</w:t>
            </w:r>
            <w:r/>
          </w:p>
        </w:tc>
        <w:tc>
          <w:tcPr>
            <w:tcW w:w="1756" w:type="dxa"/>
            <w:vAlign w:val="center"/>
            <w:textDirection w:val="lrTb"/>
            <w:noWrap w:val="false"/>
          </w:tcPr>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是否响应</w:t>
            </w:r>
            <w:r/>
          </w:p>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（填是或者否）</w:t>
            </w:r>
            <w:r/>
          </w:p>
        </w:tc>
        <w:tc>
          <w:tcPr>
            <w:tcW w:w="1738" w:type="dxa"/>
            <w:vAlign w:val="center"/>
            <w:textDirection w:val="lrTb"/>
            <w:noWrap w:val="false"/>
          </w:tcPr>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投标文件中的</w:t>
            </w:r>
            <w:r/>
          </w:p>
          <w:p>
            <w:pPr>
              <w:jc w:val="center"/>
              <w:spacing w:line="240" w:lineRule="atLeast"/>
              <w:widowControl w:val="off"/>
              <w:rPr>
                <w:rFonts w:ascii="Times New Roman" w:hAnsi="Times New Roman" w:eastAsia="宋体" w:cs="Times New Roman"/>
                <w:b/>
                <w:color w:val="auto"/>
                <w:sz w:val="21"/>
                <w:szCs w:val="22"/>
                <w:highlight w:val="none"/>
                <w:lang w:val="en-US" w:eastAsia="zh-CN" w:bidi="ar-SA"/>
              </w:rPr>
            </w:pPr>
            <w:r>
              <w:rPr>
                <w:rFonts w:hint="eastAsia" w:ascii="Times New Roman" w:hAnsi="Times New Roman" w:eastAsia="宋体" w:cs="Times New Roman"/>
                <w:b/>
                <w:color w:val="auto"/>
                <w:sz w:val="21"/>
                <w:szCs w:val="22"/>
                <w:highlight w:val="none"/>
                <w:lang w:val="en-US" w:eastAsia="zh-CN" w:bidi="ar-SA"/>
              </w:rPr>
              <w:t xml:space="preserve">页码位置</w:t>
            </w:r>
            <w:r/>
          </w:p>
        </w:tc>
      </w:tr>
      <w:tr>
        <w:trPr>
          <w:trHeight w:val="454" w:hRule="exact"/>
        </w:trPr>
        <w:tc>
          <w:tcPr>
            <w:tcW w:w="671" w:type="dxa"/>
            <w:vAlign w:val="center"/>
            <w:textDirection w:val="lrTb"/>
            <w:noWrap w:val="false"/>
          </w:tcPr>
          <w:p>
            <w:pPr>
              <w:jc w:val="center"/>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1</w:t>
            </w:r>
            <w:r/>
          </w:p>
        </w:tc>
        <w:tc>
          <w:tcPr>
            <w:tcW w:w="4838" w:type="dxa"/>
            <w:vAlign w:val="center"/>
            <w:textDirection w:val="lrTb"/>
            <w:noWrap w:val="false"/>
          </w:tcPr>
          <w:p>
            <w:pPr>
              <w:jc w:val="both"/>
              <w:spacing w:line="480" w:lineRule="exact"/>
              <w:widowControl w:val="off"/>
              <w:rPr>
                <w:rFonts w:ascii="Times New Roman" w:hAnsi="Times New Roman" w:eastAsia="宋体" w:cs="Times New Roman"/>
                <w:iCs/>
                <w:color w:val="auto"/>
                <w:sz w:val="21"/>
                <w:szCs w:val="22"/>
                <w:highlight w:val="none"/>
                <w:lang w:val="en-US" w:eastAsia="zh-CN" w:bidi="ar-SA"/>
              </w:rPr>
            </w:pPr>
            <w:r>
              <w:rPr>
                <w:rFonts w:ascii="Times New Roman" w:hAnsi="Times New Roman" w:eastAsia="宋体" w:cs="Times New Roman"/>
                <w:iCs/>
                <w:color w:val="auto"/>
                <w:sz w:val="21"/>
                <w:szCs w:val="22"/>
                <w:highlight w:val="none"/>
                <w:lang w:val="en-US" w:eastAsia="zh-CN" w:bidi="ar-SA"/>
              </w:rPr>
            </w:r>
            <w:r/>
          </w:p>
        </w:tc>
        <w:tc>
          <w:tcPr>
            <w:tcW w:w="1756" w:type="dxa"/>
            <w:vAlign w:val="center"/>
            <w:textDirection w:val="lrTb"/>
            <w:noWrap w:val="false"/>
          </w:tcPr>
          <w:p>
            <w:pPr>
              <w:jc w:val="both"/>
              <w:widowControl w:val="off"/>
              <w:rPr>
                <w:rFonts w:ascii="Times New Roman" w:hAnsi="Times New Roman" w:eastAsia="宋体" w:cs="Times New Roman"/>
                <w:b/>
                <w:color w:val="auto"/>
                <w:sz w:val="21"/>
                <w:szCs w:val="22"/>
                <w:highlight w:val="none"/>
                <w:lang w:val="en-US" w:eastAsia="zh-CN" w:bidi="ar-SA"/>
              </w:rPr>
            </w:pPr>
            <w:r>
              <w:rPr>
                <w:rFonts w:ascii="Times New Roman" w:hAnsi="Times New Roman" w:eastAsia="宋体" w:cs="Times New Roman"/>
                <w:b/>
                <w:color w:val="auto"/>
                <w:sz w:val="21"/>
                <w:szCs w:val="22"/>
                <w:highlight w:val="none"/>
                <w:lang w:val="en-US" w:eastAsia="zh-CN" w:bidi="ar-SA"/>
              </w:rPr>
            </w:r>
            <w:r/>
          </w:p>
        </w:tc>
        <w:tc>
          <w:tcPr>
            <w:tcW w:w="1738" w:type="dxa"/>
            <w:vAlign w:val="center"/>
            <w:textDirection w:val="lrTb"/>
            <w:noWrap w:val="false"/>
          </w:tcPr>
          <w:p>
            <w:pPr>
              <w:jc w:val="both"/>
              <w:widowControl w:val="off"/>
              <w:rPr>
                <w:rFonts w:ascii="Times New Roman" w:hAnsi="Times New Roman" w:eastAsia="宋体" w:cs="Times New Roman"/>
                <w:b/>
                <w:color w:val="auto"/>
                <w:sz w:val="21"/>
                <w:szCs w:val="22"/>
                <w:highlight w:val="none"/>
                <w:lang w:val="en-US" w:eastAsia="zh-CN" w:bidi="ar-SA"/>
              </w:rPr>
            </w:pPr>
            <w:r>
              <w:rPr>
                <w:rFonts w:ascii="Times New Roman" w:hAnsi="Times New Roman" w:eastAsia="宋体" w:cs="Times New Roman"/>
                <w:b/>
                <w:color w:val="auto"/>
                <w:sz w:val="21"/>
                <w:szCs w:val="22"/>
                <w:highlight w:val="none"/>
                <w:lang w:val="en-US" w:eastAsia="zh-CN" w:bidi="ar-SA"/>
              </w:rPr>
            </w:r>
            <w:r/>
          </w:p>
        </w:tc>
      </w:tr>
      <w:tr>
        <w:trPr>
          <w:trHeight w:val="454" w:hRule="exact"/>
        </w:trPr>
        <w:tc>
          <w:tcPr>
            <w:tcW w:w="671" w:type="dxa"/>
            <w:vAlign w:val="center"/>
            <w:textDirection w:val="lrTb"/>
            <w:noWrap w:val="false"/>
          </w:tcPr>
          <w:p>
            <w:pPr>
              <w:jc w:val="center"/>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2</w:t>
            </w:r>
            <w:r/>
          </w:p>
        </w:tc>
        <w:tc>
          <w:tcPr>
            <w:tcW w:w="4838" w:type="dxa"/>
            <w:vAlign w:val="center"/>
            <w:textDirection w:val="lrTb"/>
            <w:noWrap w:val="false"/>
          </w:tcPr>
          <w:p>
            <w:pPr>
              <w:jc w:val="both"/>
              <w:spacing w:before="50" w:after="156"/>
              <w:widowControl w:val="off"/>
              <w:rPr>
                <w:rFonts w:ascii="Times New Roman" w:hAnsi="Times New Roman" w:eastAsia="宋体" w:cs="Times New Roman"/>
                <w:b/>
                <w:color w:val="auto"/>
                <w:sz w:val="28"/>
                <w:szCs w:val="28"/>
                <w:highlight w:val="none"/>
                <w:lang w:val="en-US" w:eastAsia="zh-CN" w:bidi="ar-SA"/>
              </w:rPr>
            </w:pPr>
            <w:r>
              <w:rPr>
                <w:rFonts w:ascii="Times New Roman" w:hAnsi="Times New Roman" w:eastAsia="宋体" w:cs="Times New Roman"/>
                <w:b/>
                <w:color w:val="auto"/>
                <w:sz w:val="28"/>
                <w:szCs w:val="28"/>
                <w:highlight w:val="none"/>
                <w:lang w:val="en-US" w:eastAsia="zh-CN" w:bidi="ar-SA"/>
              </w:rPr>
            </w:r>
            <w:r/>
          </w:p>
        </w:tc>
        <w:tc>
          <w:tcPr>
            <w:tcW w:w="1756"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738"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r>
      <w:tr>
        <w:trPr>
          <w:trHeight w:val="454" w:hRule="exact"/>
        </w:trPr>
        <w:tc>
          <w:tcPr>
            <w:tcW w:w="671" w:type="dxa"/>
            <w:vAlign w:val="center"/>
            <w:textDirection w:val="lrTb"/>
            <w:noWrap w:val="false"/>
          </w:tcPr>
          <w:p>
            <w:pPr>
              <w:jc w:val="center"/>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3</w:t>
            </w:r>
            <w:r/>
          </w:p>
        </w:tc>
        <w:tc>
          <w:tcPr>
            <w:tcW w:w="4838" w:type="dxa"/>
            <w:vAlign w:val="center"/>
            <w:textDirection w:val="lrTb"/>
            <w:noWrap w:val="false"/>
          </w:tcPr>
          <w:p>
            <w:pPr>
              <w:jc w:val="both"/>
              <w:spacing w:line="480" w:lineRule="exact"/>
              <w:widowControl w:val="off"/>
              <w:rPr>
                <w:rFonts w:ascii="Times New Roman" w:hAnsi="Times New Roman" w:eastAsia="宋体" w:cs="Times New Roman"/>
                <w:iCs/>
                <w:color w:val="auto"/>
                <w:sz w:val="21"/>
                <w:szCs w:val="22"/>
                <w:highlight w:val="none"/>
                <w:lang w:val="en-US" w:eastAsia="zh-CN" w:bidi="ar-SA"/>
              </w:rPr>
            </w:pPr>
            <w:r>
              <w:rPr>
                <w:rFonts w:ascii="Times New Roman" w:hAnsi="Times New Roman" w:eastAsia="宋体" w:cs="Times New Roman"/>
                <w:iCs/>
                <w:color w:val="auto"/>
                <w:sz w:val="21"/>
                <w:szCs w:val="22"/>
                <w:highlight w:val="none"/>
                <w:lang w:val="en-US" w:eastAsia="zh-CN" w:bidi="ar-SA"/>
              </w:rPr>
            </w:r>
            <w:r/>
          </w:p>
        </w:tc>
        <w:tc>
          <w:tcPr>
            <w:tcW w:w="1756"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738"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r>
      <w:tr>
        <w:trPr>
          <w:trHeight w:val="454" w:hRule="exact"/>
        </w:trPr>
        <w:tc>
          <w:tcPr>
            <w:tcW w:w="671" w:type="dxa"/>
            <w:vAlign w:val="center"/>
            <w:textDirection w:val="lrTb"/>
            <w:noWrap w:val="false"/>
          </w:tcPr>
          <w:p>
            <w:pPr>
              <w:jc w:val="center"/>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4</w:t>
            </w:r>
            <w:r/>
          </w:p>
        </w:tc>
        <w:tc>
          <w:tcPr>
            <w:tcW w:w="4838" w:type="dxa"/>
            <w:vAlign w:val="center"/>
            <w:textDirection w:val="lrTb"/>
            <w:noWrap w:val="false"/>
          </w:tcPr>
          <w:p>
            <w:pPr>
              <w:jc w:val="both"/>
              <w:spacing w:line="360" w:lineRule="auto"/>
              <w:widowControl w:val="off"/>
              <w:rPr>
                <w:rFonts w:ascii="Times New Roman" w:hAnsi="Times New Roman" w:eastAsia="宋体" w:cs="Times New Roman"/>
                <w:iCs/>
                <w:color w:val="auto"/>
                <w:sz w:val="21"/>
                <w:szCs w:val="22"/>
                <w:highlight w:val="none"/>
                <w:lang w:val="en-US" w:eastAsia="zh-CN" w:bidi="ar-SA"/>
              </w:rPr>
            </w:pPr>
            <w:r>
              <w:rPr>
                <w:rFonts w:ascii="Times New Roman" w:hAnsi="Times New Roman" w:eastAsia="宋体" w:cs="Times New Roman"/>
                <w:iCs/>
                <w:color w:val="auto"/>
                <w:sz w:val="21"/>
                <w:szCs w:val="22"/>
                <w:highlight w:val="none"/>
                <w:lang w:val="en-US" w:eastAsia="zh-CN" w:bidi="ar-SA"/>
              </w:rPr>
            </w:r>
            <w:r/>
          </w:p>
        </w:tc>
        <w:tc>
          <w:tcPr>
            <w:tcW w:w="1756"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738"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r>
      <w:tr>
        <w:trPr>
          <w:trHeight w:val="454" w:hRule="exact"/>
        </w:trPr>
        <w:tc>
          <w:tcPr>
            <w:tcW w:w="671" w:type="dxa"/>
            <w:vAlign w:val="center"/>
            <w:textDirection w:val="lrTb"/>
            <w:noWrap w:val="false"/>
          </w:tcPr>
          <w:p>
            <w:pPr>
              <w:jc w:val="center"/>
              <w:widowControl w:val="off"/>
              <w:rPr>
                <w:rFonts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t xml:space="preserve">5</w:t>
            </w:r>
            <w:r/>
          </w:p>
        </w:tc>
        <w:tc>
          <w:tcPr>
            <w:tcW w:w="4838" w:type="dxa"/>
            <w:vAlign w:val="center"/>
            <w:textDirection w:val="lrTb"/>
            <w:noWrap w:val="false"/>
          </w:tcPr>
          <w:p>
            <w:pPr>
              <w:jc w:val="both"/>
              <w:spacing w:line="590" w:lineRule="atLeast"/>
              <w:widowControl w:val="off"/>
              <w:rPr>
                <w:rFonts w:ascii="Times New Roman" w:hAnsi="Times New Roman" w:eastAsia="宋体" w:cs="Times New Roman"/>
                <w:iCs/>
                <w:color w:val="auto"/>
                <w:sz w:val="21"/>
                <w:szCs w:val="22"/>
                <w:highlight w:val="none"/>
                <w:lang w:val="en-US" w:eastAsia="zh-CN" w:bidi="ar-SA"/>
              </w:rPr>
            </w:pPr>
            <w:r>
              <w:rPr>
                <w:rFonts w:ascii="Times New Roman" w:hAnsi="Times New Roman" w:eastAsia="宋体" w:cs="Times New Roman"/>
                <w:iCs/>
                <w:color w:val="auto"/>
                <w:sz w:val="21"/>
                <w:szCs w:val="22"/>
                <w:highlight w:val="none"/>
                <w:lang w:val="en-US" w:eastAsia="zh-CN" w:bidi="ar-SA"/>
              </w:rPr>
            </w:r>
            <w:r/>
          </w:p>
        </w:tc>
        <w:tc>
          <w:tcPr>
            <w:tcW w:w="1756"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tcW w:w="1738" w:type="dxa"/>
            <w:vAlign w:val="center"/>
            <w:textDirection w:val="lrTb"/>
            <w:noWrap w:val="false"/>
          </w:tcPr>
          <w:p>
            <w:pPr>
              <w:jc w:val="both"/>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hint="eastAsia" w:ascii="Times New Roman" w:hAnsi="Times New Roman" w:eastAsia="宋体" w:cs="Times New Roman"/>
                <w:b/>
                <w:bCs/>
                <w:color w:val="auto"/>
                <w:sz w:val="21"/>
                <w:szCs w:val="22"/>
                <w:highlight w:val="none"/>
                <w:lang w:val="en-US" w:eastAsia="zh-CN" w:bidi="ar-SA"/>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hint="eastAsia" w:ascii="Times New Roman" w:hAnsi="Times New Roman" w:eastAsia="宋体" w:cs="Times New Roman"/>
                <w:b/>
                <w:bCs/>
                <w:color w:val="auto"/>
                <w:sz w:val="21"/>
                <w:szCs w:val="22"/>
                <w:highlight w:val="none"/>
                <w:lang w:val="en-US" w:eastAsia="zh-CN" w:bidi="ar-SA"/>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both"/>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both"/>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both"/>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both"/>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jc w:val="both"/>
              <w:spacing w:line="360" w:lineRule="auto"/>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widowControl w:val="off"/>
              <w:rPr>
                <w:rFonts w:ascii="Times New Roman" w:hAnsi="Times New Roman" w:eastAsia="宋体" w:cs="Times New Roman"/>
                <w:b/>
                <w:bCs/>
                <w:color w:val="auto"/>
                <w:sz w:val="21"/>
                <w:szCs w:val="22"/>
                <w:highlight w:val="none"/>
                <w:lang w:val="en-US" w:eastAsia="zh-CN" w:bidi="ar-SA"/>
              </w:rPr>
            </w:pPr>
            <w:r>
              <w:rPr>
                <w:rFonts w:ascii="Times New Roman" w:hAnsi="Times New Roman" w:eastAsia="宋体" w:cs="Times New Roman"/>
                <w:b/>
                <w:bCs/>
                <w:color w:val="auto"/>
                <w:sz w:val="21"/>
                <w:szCs w:val="22"/>
                <w:highlight w:val="none"/>
                <w:lang w:val="en-US" w:eastAsia="zh-CN" w:bidi="ar-SA"/>
              </w:rPr>
            </w:r>
            <w:r/>
          </w:p>
        </w:tc>
      </w:tr>
    </w:tbl>
    <w:p>
      <w:pPr>
        <w:rPr>
          <w:rFonts w:ascii="Arial" w:hAnsi="Arial" w:cs="Arial"/>
          <w:color w:val="auto"/>
          <w:sz w:val="28"/>
          <w:highlight w:val="none"/>
        </w:rPr>
      </w:pPr>
      <w:r>
        <w:rPr>
          <w:rFonts w:ascii="Arial" w:hAnsi="Arial" w:cs="Arial"/>
          <w:color w:val="auto"/>
          <w:sz w:val="28"/>
          <w:highlight w:val="none"/>
        </w:rPr>
      </w:r>
      <w:r/>
    </w:p>
    <w:p>
      <w:pPr>
        <w:rPr>
          <w:rFonts w:ascii="Arial" w:hAnsi="Arial" w:cs="Arial"/>
          <w:color w:val="auto"/>
          <w:sz w:val="28"/>
          <w:szCs w:val="24"/>
          <w:highlight w:val="none"/>
        </w:rPr>
      </w:pPr>
      <w:r>
        <w:rPr>
          <w:rFonts w:ascii="Arial" w:hAnsi="Arial" w:cs="Arial"/>
          <w:color w:val="auto"/>
          <w:sz w:val="28"/>
          <w:szCs w:val="24"/>
          <w:highlight w:val="none"/>
        </w:rPr>
        <w:br w:type="page" w:clear="all"/>
      </w:r>
      <w:r/>
    </w:p>
    <w:p>
      <w:pPr>
        <w:pStyle w:val="738"/>
        <w:jc w:val="both"/>
        <w:spacing w:before="0"/>
        <w:rPr>
          <w:rFonts w:ascii="Arial" w:hAnsi="Arial" w:cs="Arial"/>
          <w:color w:val="auto"/>
          <w:sz w:val="28"/>
          <w:szCs w:val="24"/>
          <w:highlight w:val="none"/>
        </w:rPr>
      </w:pPr>
      <w:r>
        <w:rPr>
          <w:rFonts w:ascii="Arial" w:hAnsi="Arial" w:cs="Arial"/>
          <w:color w:val="auto"/>
          <w:sz w:val="28"/>
          <w:szCs w:val="24"/>
          <w:highlight w:val="none"/>
        </w:rPr>
        <w:t xml:space="preserve">一、</w:t>
      </w:r>
      <w:bookmarkStart w:id="265" w:name="_Toc103848582"/>
      <w:r/>
      <w:bookmarkStart w:id="266" w:name="_Toc107246274"/>
      <w:r/>
      <w:bookmarkStart w:id="267" w:name="_Toc104560897"/>
      <w:r/>
      <w:bookmarkStart w:id="268" w:name="_Toc104560893"/>
      <w:r>
        <w:rPr>
          <w:rFonts w:ascii="Arial" w:hAnsi="Arial" w:cs="Arial"/>
          <w:color w:val="auto"/>
          <w:sz w:val="28"/>
          <w:szCs w:val="24"/>
          <w:highlight w:val="none"/>
        </w:rPr>
        <w:t xml:space="preserve">价格及商务部分</w:t>
      </w:r>
      <w:bookmarkEnd w:id="265"/>
      <w:r/>
      <w:bookmarkEnd w:id="266"/>
      <w:r/>
      <w:bookmarkEnd w:id="267"/>
      <w:r/>
      <w:r/>
    </w:p>
    <w:p>
      <w:pPr>
        <w:ind w:firstLine="372"/>
        <w:rPr>
          <w:rFonts w:ascii="Arial" w:hAnsi="Arial" w:cs="Arial"/>
          <w:color w:val="auto"/>
          <w:highlight w:val="none"/>
        </w:rPr>
      </w:pPr>
      <w:r>
        <w:rPr>
          <w:rFonts w:ascii="Arial" w:hAnsi="Arial" w:cs="Arial"/>
          <w:color w:val="auto"/>
          <w:highlight w:val="none"/>
        </w:rPr>
      </w:r>
      <w:r/>
    </w:p>
    <w:p>
      <w:pPr>
        <w:pStyle w:val="738"/>
        <w:spacing w:before="0" w:line="280" w:lineRule="exact"/>
        <w:rPr>
          <w:rFonts w:ascii="Arial" w:hAnsi="Arial" w:cs="Arial"/>
          <w:color w:val="auto"/>
          <w:sz w:val="28"/>
          <w:szCs w:val="24"/>
          <w:highlight w:val="none"/>
        </w:rPr>
      </w:pPr>
      <w:r/>
      <w:bookmarkStart w:id="269" w:name="_Toc107246275"/>
      <w:r>
        <w:rPr>
          <w:rFonts w:ascii="Arial" w:hAnsi="Arial" w:cs="Arial"/>
          <w:b w:val="0"/>
          <w:color w:val="auto"/>
          <w:sz w:val="24"/>
          <w:highlight w:val="none"/>
        </w:rPr>
        <w:t xml:space="preserve">（1）</w:t>
      </w:r>
      <w:r>
        <w:rPr>
          <w:rFonts w:ascii="Arial" w:hAnsi="Arial" w:cs="Arial"/>
          <w:color w:val="auto"/>
          <w:sz w:val="28"/>
          <w:szCs w:val="24"/>
          <w:highlight w:val="none"/>
        </w:rPr>
        <w:t xml:space="preserve">投标函</w:t>
      </w:r>
      <w:bookmarkEnd w:id="268"/>
      <w:r/>
      <w:bookmarkEnd w:id="269"/>
      <w:r/>
      <w:r/>
    </w:p>
    <w:p>
      <w:pPr>
        <w:ind w:firstLine="420"/>
        <w:spacing w:line="360" w:lineRule="auto"/>
        <w:rPr>
          <w:rFonts w:ascii="Arial" w:hAnsi="Arial" w:cs="Arial"/>
          <w:color w:val="auto"/>
          <w:szCs w:val="21"/>
          <w:highlight w:val="none"/>
        </w:rPr>
      </w:pPr>
      <w:r/>
      <w:bookmarkStart w:id="270" w:name="_Toc103848580"/>
      <w:r/>
      <w:bookmarkStart w:id="271" w:name="_Toc96347902"/>
      <w:r>
        <w:rPr>
          <w:rFonts w:ascii="Arial" w:hAnsi="Arial" w:cs="Arial"/>
          <w:color w:val="auto"/>
          <w:szCs w:val="21"/>
          <w:highlight w:val="none"/>
          <w:u w:val="single"/>
        </w:rPr>
        <w:t xml:space="preserve">南京市鼓楼区数据局</w:t>
      </w:r>
      <w:r>
        <w:rPr>
          <w:rFonts w:ascii="Arial" w:hAnsi="Arial" w:cs="Arial"/>
          <w:color w:val="auto"/>
          <w:szCs w:val="21"/>
          <w:highlight w:val="none"/>
        </w:rPr>
        <w:t xml:space="preserve">（采购人）：</w:t>
      </w:r>
      <w:r/>
    </w:p>
    <w:p>
      <w:pPr>
        <w:ind w:left="1890" w:hanging="1470"/>
        <w:jc w:val="left"/>
        <w:spacing w:line="360" w:lineRule="auto"/>
        <w:rPr>
          <w:rFonts w:hint="eastAsia" w:ascii="Arial" w:hAnsi="Arial" w:cs="Arial"/>
          <w:color w:val="auto"/>
          <w:szCs w:val="21"/>
          <w:highlight w:val="none"/>
          <w:u w:val="single"/>
          <w:lang w:val="en-US" w:eastAsia="zh-CN"/>
        </w:rPr>
      </w:pPr>
      <w:r>
        <w:rPr>
          <w:rFonts w:ascii="Arial" w:hAnsi="Arial" w:cs="Arial"/>
          <w:color w:val="auto"/>
          <w:szCs w:val="21"/>
          <w:highlight w:val="none"/>
          <w:u w:val="single"/>
        </w:rPr>
        <w:t xml:space="preserve">       (投标人全称)   </w:t>
      </w:r>
      <w:r>
        <w:rPr>
          <w:rFonts w:ascii="Arial" w:hAnsi="Arial" w:cs="Arial"/>
          <w:color w:val="auto"/>
          <w:szCs w:val="21"/>
          <w:highlight w:val="none"/>
        </w:rPr>
        <w:t xml:space="preserve">授权</w:t>
      </w:r>
      <w:r>
        <w:rPr>
          <w:rFonts w:ascii="Arial" w:hAnsi="Arial" w:cs="Arial"/>
          <w:color w:val="auto"/>
          <w:szCs w:val="21"/>
          <w:highlight w:val="none"/>
          <w:u w:val="single"/>
        </w:rPr>
        <w:t xml:space="preserve">    （授权代表姓名）   （职位） </w:t>
      </w:r>
      <w:r>
        <w:rPr>
          <w:rFonts w:ascii="Arial" w:hAnsi="Arial" w:cs="Arial"/>
          <w:color w:val="auto"/>
          <w:szCs w:val="21"/>
          <w:highlight w:val="none"/>
        </w:rPr>
        <w:t xml:space="preserve">为全权代表，参加贵方组织的</w:t>
      </w:r>
      <w:r>
        <w:rPr>
          <w:rFonts w:hint="eastAsia" w:ascii="Arial" w:hAnsi="Arial" w:cs="Arial"/>
          <w:color w:val="auto"/>
          <w:szCs w:val="21"/>
          <w:highlight w:val="none"/>
          <w:u w:val="single"/>
          <w:lang w:val="en-US" w:eastAsia="zh-CN"/>
        </w:rPr>
        <w:t xml:space="preserve">  </w:t>
      </w:r>
      <w:r/>
    </w:p>
    <w:p>
      <w:pPr>
        <w:ind w:left="1890" w:hanging="1470"/>
        <w:jc w:val="left"/>
        <w:spacing w:line="360" w:lineRule="auto"/>
        <w:rPr>
          <w:rFonts w:ascii="Arial" w:hAnsi="Arial" w:cs="Arial"/>
          <w:color w:val="auto"/>
          <w:szCs w:val="21"/>
          <w:highlight w:val="none"/>
        </w:rPr>
      </w:pPr>
      <w:r>
        <w:rPr>
          <w:rFonts w:hint="eastAsia" w:ascii="Arial" w:hAnsi="Arial" w:cs="Arial"/>
          <w:color w:val="auto"/>
          <w:szCs w:val="21"/>
          <w:highlight w:val="none"/>
          <w:u w:val="single"/>
          <w:lang w:val="en-US" w:eastAsia="zh-CN"/>
        </w:rPr>
        <w:t xml:space="preserve">（</w:t>
      </w:r>
      <w:r>
        <w:rPr>
          <w:rFonts w:ascii="Arial" w:hAnsi="Arial" w:cs="Arial"/>
          <w:color w:val="auto"/>
          <w:szCs w:val="21"/>
          <w:highlight w:val="none"/>
          <w:u w:val="single"/>
        </w:rPr>
        <w:t xml:space="preserve">项目名称）（项目编号：</w:t>
      </w:r>
      <w:r>
        <w:rPr>
          <w:rFonts w:hint="eastAsia" w:ascii="Arial" w:hAnsi="Arial" w:cs="Arial"/>
          <w:color w:val="auto"/>
          <w:szCs w:val="21"/>
          <w:highlight w:val="none"/>
          <w:u w:val="single"/>
          <w:lang w:val="en-US" w:eastAsia="zh-CN"/>
        </w:rPr>
        <w:t xml:space="preserve">   </w:t>
      </w:r>
      <w:r>
        <w:rPr>
          <w:rFonts w:ascii="Arial" w:hAnsi="Arial" w:cs="Arial"/>
          <w:color w:val="auto"/>
          <w:szCs w:val="21"/>
          <w:highlight w:val="none"/>
          <w:u w:val="single"/>
        </w:rPr>
        <w:t xml:space="preserve">）</w:t>
      </w:r>
      <w:r>
        <w:rPr>
          <w:rFonts w:ascii="Arial" w:hAnsi="Arial" w:cs="Arial"/>
          <w:color w:val="auto"/>
          <w:szCs w:val="21"/>
          <w:highlight w:val="none"/>
        </w:rPr>
        <w:t xml:space="preserve">投标的有关活动，并对此项目进行投标。</w:t>
      </w:r>
      <w:r/>
    </w:p>
    <w:p>
      <w:pPr>
        <w:ind w:firstLine="420"/>
        <w:jc w:val="left"/>
        <w:spacing w:line="360" w:lineRule="auto"/>
        <w:rPr>
          <w:rFonts w:ascii="Arial" w:hAnsi="Arial" w:cs="Arial"/>
          <w:color w:val="auto"/>
          <w:szCs w:val="21"/>
          <w:highlight w:val="none"/>
        </w:rPr>
      </w:pPr>
      <w:r>
        <w:rPr>
          <w:rFonts w:ascii="Arial" w:hAnsi="Arial" w:cs="Arial"/>
          <w:color w:val="auto"/>
          <w:szCs w:val="21"/>
          <w:highlight w:val="none"/>
        </w:rPr>
        <w:t xml:space="preserve">为此：</w:t>
      </w:r>
      <w:r/>
    </w:p>
    <w:p>
      <w:pPr>
        <w:pStyle w:val="736"/>
        <w:ind w:firstLine="420"/>
        <w:jc w:val="left"/>
        <w:spacing w:after="0" w:line="360" w:lineRule="auto"/>
        <w:rPr>
          <w:rFonts w:ascii="Arial" w:hAnsi="Arial" w:cs="Arial"/>
          <w:color w:val="auto"/>
          <w:highlight w:val="none"/>
        </w:rPr>
      </w:pPr>
      <w:r>
        <w:rPr>
          <w:rFonts w:ascii="Arial" w:hAnsi="Arial" w:cs="Arial"/>
          <w:color w:val="auto"/>
          <w:highlight w:val="none"/>
        </w:rPr>
        <w:t xml:space="preserve">1、我方将按采购文件的规定履行全部责任和义务。</w:t>
      </w:r>
      <w:r/>
    </w:p>
    <w:p>
      <w:pPr>
        <w:pStyle w:val="736"/>
        <w:ind w:firstLine="420"/>
        <w:jc w:val="left"/>
        <w:spacing w:after="0" w:line="360" w:lineRule="auto"/>
        <w:rPr>
          <w:rFonts w:ascii="Arial" w:hAnsi="Arial" w:cs="Arial"/>
          <w:color w:val="auto"/>
          <w:szCs w:val="21"/>
          <w:highlight w:val="none"/>
        </w:rPr>
      </w:pPr>
      <w:r>
        <w:rPr>
          <w:rFonts w:ascii="Arial" w:hAnsi="Arial" w:cs="Arial"/>
          <w:color w:val="auto"/>
          <w:highlight w:val="none"/>
        </w:rPr>
        <w:t xml:space="preserve">2、我方已详细审查全部采购文件，我们完全理解并同意</w:t>
      </w:r>
      <w:r>
        <w:rPr>
          <w:rFonts w:ascii="Arial" w:hAnsi="Arial" w:cs="Arial"/>
          <w:color w:val="auto"/>
          <w:szCs w:val="21"/>
          <w:highlight w:val="none"/>
        </w:rPr>
        <w:t xml:space="preserve">放弃对采购文件提出质疑或争议的权利。</w:t>
      </w:r>
      <w:r/>
    </w:p>
    <w:p>
      <w:pPr>
        <w:pStyle w:val="736"/>
        <w:ind w:firstLine="420"/>
        <w:jc w:val="left"/>
        <w:spacing w:after="0" w:line="360" w:lineRule="auto"/>
        <w:rPr>
          <w:rFonts w:ascii="Arial" w:hAnsi="Arial" w:cs="Arial"/>
          <w:color w:val="auto"/>
          <w:highlight w:val="none"/>
        </w:rPr>
      </w:pPr>
      <w:r>
        <w:rPr>
          <w:rFonts w:ascii="Arial" w:hAnsi="Arial" w:cs="Arial"/>
          <w:color w:val="auto"/>
          <w:szCs w:val="21"/>
          <w:highlight w:val="none"/>
        </w:rPr>
        <w:t xml:space="preserve">3、本投标有效期为自投标日起</w:t>
      </w:r>
      <w:r>
        <w:rPr>
          <w:rFonts w:ascii="Arial" w:hAnsi="Arial" w:cs="Arial"/>
          <w:color w:val="auto"/>
          <w:szCs w:val="21"/>
          <w:highlight w:val="none"/>
          <w:u w:val="single"/>
        </w:rPr>
        <w:t xml:space="preserve">90日历天</w:t>
      </w:r>
      <w:r>
        <w:rPr>
          <w:rFonts w:ascii="Arial" w:hAnsi="Arial" w:cs="Arial"/>
          <w:color w:val="auto"/>
          <w:szCs w:val="21"/>
          <w:highlight w:val="none"/>
        </w:rPr>
        <w:t xml:space="preserve">。</w:t>
      </w:r>
      <w:r/>
    </w:p>
    <w:p>
      <w:pPr>
        <w:pStyle w:val="736"/>
        <w:ind w:firstLine="420"/>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4、如果在规定的递交投标文件截止时间后，我方在投标有效期内撤销投标文件，投标保证金将不予退还。</w:t>
      </w:r>
      <w:r/>
    </w:p>
    <w:p>
      <w:pPr>
        <w:pStyle w:val="736"/>
        <w:ind w:firstLine="420"/>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36"/>
        <w:ind w:firstLine="420"/>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6、我方在法律和财务上独立、合法运作并独立于采购方，与采购人为本项目所委托的咨询单位或其附属机构没有直接或间接的任何关联。</w:t>
      </w:r>
      <w:r/>
    </w:p>
    <w:p>
      <w:pPr>
        <w:pStyle w:val="736"/>
        <w:ind w:firstLine="420"/>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36"/>
        <w:ind w:firstLine="420"/>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8、</w:t>
      </w:r>
      <w:r>
        <w:rPr>
          <w:rFonts w:ascii="Arial" w:hAnsi="Arial" w:cs="Arial"/>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736"/>
        <w:ind w:firstLine="420"/>
        <w:jc w:val="left"/>
        <w:spacing w:after="0" w:line="360" w:lineRule="auto"/>
        <w:rPr>
          <w:rFonts w:ascii="Arial" w:hAnsi="Arial" w:cs="Arial"/>
          <w:color w:val="auto"/>
          <w:szCs w:val="21"/>
          <w:highlight w:val="none"/>
        </w:rPr>
      </w:pPr>
      <w:r>
        <w:rPr>
          <w:rFonts w:ascii="Arial" w:hAnsi="Arial" w:cs="Arial"/>
          <w:color w:val="auto"/>
          <w:highlight w:val="none"/>
        </w:rPr>
        <w:t xml:space="preserve">9、</w:t>
      </w:r>
      <w:r>
        <w:rPr>
          <w:rFonts w:ascii="Arial" w:hAnsi="Arial" w:cs="Arial"/>
          <w:color w:val="auto"/>
          <w:szCs w:val="21"/>
          <w:highlight w:val="none"/>
        </w:rPr>
        <w:t xml:space="preserve">与本投标有关的一切往来通讯请寄：</w:t>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地址：</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邮编：</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手机：</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固定电话：</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邮箱：</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投标人名称（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u w:val="single"/>
        </w:rPr>
        <w:tab/>
      </w:r>
      <w:r/>
    </w:p>
    <w:p>
      <w:pPr>
        <w:pStyle w:val="736"/>
        <w:ind w:firstLine="372"/>
        <w:jc w:val="left"/>
        <w:spacing w:after="0" w:line="360" w:lineRule="auto"/>
        <w:rPr>
          <w:rFonts w:ascii="Arial" w:hAnsi="Arial" w:cs="Arial"/>
          <w:color w:val="auto"/>
          <w:szCs w:val="21"/>
          <w:highlight w:val="none"/>
        </w:rPr>
      </w:pPr>
      <w:r>
        <w:rPr>
          <w:rFonts w:ascii="Arial" w:hAnsi="Arial" w:cs="Arial"/>
          <w:color w:val="auto"/>
          <w:szCs w:val="21"/>
          <w:highlight w:val="none"/>
        </w:rPr>
        <w:t xml:space="preserve">日期：______年</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rPr>
        <w:t xml:space="preserve">月</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rPr>
        <w:t xml:space="preserve">日</w:t>
      </w:r>
      <w:r/>
    </w:p>
    <w:p>
      <w:pPr>
        <w:pStyle w:val="715"/>
        <w:spacing w:before="1" w:line="360" w:lineRule="auto"/>
        <w:rPr>
          <w:rFonts w:ascii="Arial" w:hAnsi="Arial" w:cs="Arial"/>
          <w:color w:val="auto"/>
          <w:sz w:val="22"/>
          <w:highlight w:val="none"/>
        </w:rPr>
      </w:pPr>
      <w:r>
        <w:rPr>
          <w:rFonts w:ascii="Arial" w:hAnsi="Arial" w:cs="Arial"/>
          <w:color w:val="auto"/>
          <w:highlight w:val="none"/>
        </w:rPr>
        <w:br w:type="page" w:clear="all"/>
      </w:r>
      <w:r/>
    </w:p>
    <w:p>
      <w:pPr>
        <w:pStyle w:val="738"/>
        <w:ind w:firstLine="569"/>
        <w:spacing w:before="0"/>
        <w:rPr>
          <w:rFonts w:ascii="Arial" w:hAnsi="Arial" w:cs="Arial"/>
          <w:bCs w:val="0"/>
          <w:color w:val="auto"/>
          <w:sz w:val="24"/>
          <w:szCs w:val="24"/>
          <w:highlight w:val="none"/>
        </w:rPr>
      </w:pPr>
      <w:r/>
      <w:bookmarkStart w:id="272" w:name="_Toc103848583"/>
      <w:r/>
      <w:bookmarkStart w:id="273" w:name="_Toc104560898"/>
      <w:r/>
      <w:bookmarkStart w:id="274" w:name="_Toc107246276"/>
      <w:r>
        <w:rPr>
          <w:rFonts w:ascii="Arial" w:hAnsi="Arial" w:cs="Arial"/>
          <w:bCs w:val="0"/>
          <w:color w:val="auto"/>
          <w:sz w:val="24"/>
          <w:szCs w:val="24"/>
          <w:highlight w:val="none"/>
        </w:rPr>
        <w:t xml:space="preserve">（2）</w:t>
      </w:r>
      <w:bookmarkEnd w:id="272"/>
      <w:r/>
      <w:bookmarkEnd w:id="273"/>
      <w:r>
        <w:rPr>
          <w:rFonts w:ascii="Arial" w:hAnsi="Arial" w:cs="Arial"/>
          <w:bCs w:val="0"/>
          <w:color w:val="auto"/>
          <w:sz w:val="24"/>
          <w:szCs w:val="24"/>
          <w:highlight w:val="none"/>
        </w:rPr>
        <w:t xml:space="preserve">法定代表人（非法人单位负责人）身份证明</w:t>
      </w:r>
      <w:bookmarkEnd w:id="274"/>
      <w:r/>
      <w:r/>
    </w:p>
    <w:p>
      <w:pPr>
        <w:pStyle w:val="715"/>
        <w:ind w:left="1236" w:firstLine="368"/>
        <w:tabs>
          <w:tab w:val="left" w:pos="4228" w:leader="none"/>
        </w:tabs>
        <w:rPr>
          <w:rFonts w:ascii="Arial" w:hAnsi="Arial" w:cs="Arial"/>
          <w:color w:val="auto"/>
          <w:spacing w:val="-1"/>
          <w:highlight w:val="none"/>
        </w:rPr>
      </w:pPr>
      <w:r>
        <w:rPr>
          <w:rFonts w:ascii="Arial" w:hAnsi="Arial" w:cs="Arial"/>
          <w:color w:val="auto"/>
          <w:spacing w:val="-1"/>
          <w:highlight w:val="none"/>
        </w:rPr>
      </w:r>
      <w:r/>
    </w:p>
    <w:p>
      <w:pPr>
        <w:pStyle w:val="715"/>
        <w:ind w:left="1236" w:firstLine="368"/>
        <w:tabs>
          <w:tab w:val="left" w:pos="4228" w:leader="none"/>
        </w:tabs>
        <w:rPr>
          <w:rFonts w:ascii="Arial" w:hAnsi="Arial" w:cs="Arial"/>
          <w:color w:val="auto"/>
          <w:spacing w:val="-1"/>
          <w:highlight w:val="none"/>
        </w:rPr>
      </w:pPr>
      <w:r>
        <w:rPr>
          <w:rFonts w:ascii="Arial" w:hAnsi="Arial" w:cs="Arial"/>
          <w:color w:val="auto"/>
          <w:spacing w:val="-1"/>
          <w:highlight w:val="none"/>
        </w:rPr>
      </w:r>
      <w:r/>
    </w:p>
    <w:p>
      <w:pPr>
        <w:pStyle w:val="715"/>
        <w:ind w:firstLine="420"/>
        <w:tabs>
          <w:tab w:val="left" w:pos="4228" w:leader="none"/>
        </w:tabs>
        <w:rPr>
          <w:rFonts w:ascii="Arial" w:hAnsi="Arial" w:cs="Arial"/>
          <w:color w:val="auto"/>
          <w:highlight w:val="none"/>
        </w:rPr>
      </w:pPr>
      <w:r>
        <w:rPr>
          <w:rFonts w:ascii="Arial" w:hAnsi="Arial" w:cs="Arial"/>
          <w:color w:val="auto"/>
          <w:highlight w:val="none"/>
        </w:rPr>
        <w:t xml:space="preserve">投标人名</w:t>
      </w:r>
      <w:r>
        <w:rPr>
          <w:rFonts w:ascii="Arial" w:hAnsi="Arial" w:cs="Arial"/>
          <w:color w:val="auto"/>
          <w:spacing w:val="-3"/>
          <w:highlight w:val="none"/>
        </w:rPr>
        <w:t xml:space="preserve">称</w:t>
      </w:r>
      <w:r>
        <w:rPr>
          <w:rFonts w:ascii="Arial" w:hAnsi="Arial" w:cs="Arial"/>
          <w:color w:val="auto"/>
          <w:highlight w:val="none"/>
        </w:rPr>
        <w:t xml:space="preserve">：</w:t>
      </w:r>
      <w:r>
        <w:rPr>
          <w:rFonts w:ascii="Arial" w:hAnsi="Arial" w:cs="Arial"/>
          <w:color w:val="auto"/>
          <w:highlight w:val="none"/>
          <w:u w:val="single"/>
        </w:rPr>
        <w:tab/>
      </w:r>
      <w:r/>
    </w:p>
    <w:p>
      <w:pPr>
        <w:pStyle w:val="715"/>
        <w:ind w:firstLine="420"/>
        <w:spacing w:before="170"/>
        <w:tabs>
          <w:tab w:val="left" w:pos="2712" w:leader="none"/>
          <w:tab w:val="left" w:pos="4183" w:leader="none"/>
          <w:tab w:val="left" w:pos="5652" w:leader="none"/>
          <w:tab w:val="left" w:pos="7169" w:leader="none"/>
        </w:tabs>
        <w:rPr>
          <w:rFonts w:ascii="Arial" w:hAnsi="Arial" w:cs="Arial"/>
          <w:color w:val="auto"/>
          <w:highlight w:val="none"/>
        </w:rPr>
      </w:pPr>
      <w:r>
        <w:rPr>
          <w:rFonts w:ascii="Arial" w:hAnsi="Arial" w:cs="Arial"/>
          <w:color w:val="auto"/>
          <w:highlight w:val="none"/>
        </w:rPr>
        <w:t xml:space="preserve">姓名</w:t>
      </w:r>
      <w:r>
        <w:rPr>
          <w:rFonts w:ascii="Arial" w:hAnsi="Arial" w:cs="Arial"/>
          <w:color w:val="auto"/>
          <w:spacing w:val="-3"/>
          <w:highlight w:val="none"/>
        </w:rPr>
        <w:t xml:space="preserve">：</w:t>
      </w:r>
      <w:r>
        <w:rPr>
          <w:rFonts w:ascii="Arial" w:hAnsi="Arial" w:cs="Arial"/>
          <w:color w:val="auto"/>
          <w:spacing w:val="-3"/>
          <w:highlight w:val="none"/>
          <w:u w:val="single"/>
        </w:rPr>
        <w:tab/>
      </w:r>
      <w:r>
        <w:rPr>
          <w:rFonts w:ascii="Arial" w:hAnsi="Arial" w:cs="Arial"/>
          <w:color w:val="auto"/>
          <w:highlight w:val="none"/>
        </w:rPr>
        <w:t xml:space="preserve">性别</w:t>
      </w:r>
      <w:r>
        <w:rPr>
          <w:rFonts w:ascii="Arial" w:hAnsi="Arial" w:cs="Arial"/>
          <w:color w:val="auto"/>
          <w:spacing w:val="-3"/>
          <w:highlight w:val="none"/>
        </w:rPr>
        <w:t xml:space="preserve">：</w:t>
      </w:r>
      <w:r>
        <w:rPr>
          <w:rFonts w:ascii="Arial" w:hAnsi="Arial" w:cs="Arial"/>
          <w:color w:val="auto"/>
          <w:spacing w:val="-3"/>
          <w:highlight w:val="none"/>
          <w:u w:val="single"/>
        </w:rPr>
        <w:tab/>
      </w:r>
      <w:r>
        <w:rPr>
          <w:rFonts w:ascii="Arial" w:hAnsi="Arial" w:cs="Arial"/>
          <w:color w:val="auto"/>
          <w:highlight w:val="none"/>
        </w:rPr>
        <w:t xml:space="preserve">年</w:t>
      </w:r>
      <w:r>
        <w:rPr>
          <w:rFonts w:ascii="Arial" w:hAnsi="Arial" w:cs="Arial"/>
          <w:color w:val="auto"/>
          <w:spacing w:val="-3"/>
          <w:highlight w:val="none"/>
        </w:rPr>
        <w:t xml:space="preserve">龄</w:t>
      </w:r>
      <w:r>
        <w:rPr>
          <w:rFonts w:ascii="Arial" w:hAnsi="Arial" w:cs="Arial"/>
          <w:color w:val="auto"/>
          <w:highlight w:val="none"/>
        </w:rPr>
        <w:t xml:space="preserve">：</w:t>
      </w:r>
      <w:r>
        <w:rPr>
          <w:rFonts w:ascii="Arial" w:hAnsi="Arial" w:cs="Arial"/>
          <w:color w:val="auto"/>
          <w:highlight w:val="none"/>
          <w:u w:val="single"/>
        </w:rPr>
        <w:tab/>
      </w:r>
      <w:r>
        <w:rPr>
          <w:rFonts w:ascii="Arial" w:hAnsi="Arial" w:cs="Arial"/>
          <w:color w:val="auto"/>
          <w:spacing w:val="-1"/>
          <w:highlight w:val="none"/>
        </w:rPr>
        <w:t xml:space="preserve">职</w:t>
      </w:r>
      <w:r>
        <w:rPr>
          <w:rFonts w:ascii="Arial" w:hAnsi="Arial" w:cs="Arial"/>
          <w:color w:val="auto"/>
          <w:spacing w:val="-3"/>
          <w:highlight w:val="none"/>
        </w:rPr>
        <w:t xml:space="preserve">务</w:t>
      </w:r>
      <w:r>
        <w:rPr>
          <w:rFonts w:ascii="Arial" w:hAnsi="Arial" w:cs="Arial"/>
          <w:color w:val="auto"/>
          <w:highlight w:val="none"/>
        </w:rPr>
        <w:t xml:space="preserve">：</w:t>
      </w:r>
      <w:r>
        <w:rPr>
          <w:rFonts w:ascii="Arial" w:hAnsi="Arial" w:cs="Arial"/>
          <w:color w:val="auto"/>
          <w:highlight w:val="none"/>
          <w:u w:val="single"/>
        </w:rPr>
        <w:tab/>
      </w:r>
      <w:r/>
    </w:p>
    <w:p>
      <w:pPr>
        <w:pStyle w:val="715"/>
        <w:ind w:firstLine="420"/>
        <w:spacing w:before="173"/>
        <w:tabs>
          <w:tab w:val="left" w:pos="3132" w:leader="none"/>
        </w:tabs>
        <w:rPr>
          <w:rFonts w:ascii="Arial" w:hAnsi="Arial" w:cs="Arial"/>
          <w:color w:val="auto"/>
          <w:highlight w:val="none"/>
        </w:rPr>
      </w:pPr>
      <w:r>
        <w:rPr>
          <w:rFonts w:ascii="Arial" w:hAnsi="Arial" w:cs="Arial"/>
          <w:color w:val="auto"/>
          <w:highlight w:val="none"/>
        </w:rPr>
        <w:t xml:space="preserve">系</w:t>
      </w:r>
      <w:r>
        <w:rPr>
          <w:rFonts w:ascii="Arial" w:hAnsi="Arial" w:cs="Arial"/>
          <w:color w:val="auto"/>
          <w:highlight w:val="none"/>
          <w:u w:val="single"/>
        </w:rPr>
        <w:tab/>
      </w:r>
      <w:r>
        <w:rPr>
          <w:rFonts w:ascii="Arial" w:hAnsi="Arial" w:cs="Arial"/>
          <w:color w:val="auto"/>
          <w:spacing w:val="-3"/>
          <w:highlight w:val="none"/>
        </w:rPr>
        <w:t xml:space="preserve">（</w:t>
      </w:r>
      <w:r>
        <w:rPr>
          <w:rFonts w:ascii="Arial" w:hAnsi="Arial" w:cs="Arial"/>
          <w:color w:val="auto"/>
          <w:highlight w:val="none"/>
        </w:rPr>
        <w:t xml:space="preserve">投标人</w:t>
      </w:r>
      <w:r>
        <w:rPr>
          <w:rFonts w:ascii="Arial" w:hAnsi="Arial" w:cs="Arial"/>
          <w:color w:val="auto"/>
          <w:spacing w:val="-3"/>
          <w:highlight w:val="none"/>
        </w:rPr>
        <w:t xml:space="preserve">名</w:t>
      </w:r>
      <w:r>
        <w:rPr>
          <w:rFonts w:ascii="Arial" w:hAnsi="Arial" w:cs="Arial"/>
          <w:color w:val="auto"/>
          <w:highlight w:val="none"/>
        </w:rPr>
        <w:t xml:space="preserve">称</w:t>
      </w:r>
      <w:r>
        <w:rPr>
          <w:rFonts w:ascii="Arial" w:hAnsi="Arial" w:cs="Arial"/>
          <w:color w:val="auto"/>
          <w:spacing w:val="-3"/>
          <w:highlight w:val="none"/>
        </w:rPr>
        <w:t xml:space="preserve">）</w:t>
      </w:r>
      <w:r>
        <w:rPr>
          <w:rFonts w:ascii="Arial" w:hAnsi="Arial" w:cs="Arial"/>
          <w:color w:val="auto"/>
          <w:highlight w:val="none"/>
        </w:rPr>
        <w:t xml:space="preserve">的</w:t>
      </w:r>
      <w:r>
        <w:rPr>
          <w:rFonts w:ascii="Arial" w:hAnsi="Arial" w:cs="Arial"/>
          <w:color w:val="auto"/>
          <w:spacing w:val="-3"/>
          <w:highlight w:val="none"/>
        </w:rPr>
        <w:t xml:space="preserve">法定</w:t>
      </w:r>
      <w:r>
        <w:rPr>
          <w:rFonts w:ascii="Arial" w:hAnsi="Arial" w:cs="Arial"/>
          <w:color w:val="auto"/>
          <w:highlight w:val="none"/>
        </w:rPr>
        <w:t xml:space="preserve">代表</w:t>
      </w:r>
      <w:r>
        <w:rPr>
          <w:rFonts w:ascii="Arial" w:hAnsi="Arial" w:cs="Arial"/>
          <w:color w:val="auto"/>
          <w:spacing w:val="-3"/>
          <w:highlight w:val="none"/>
        </w:rPr>
        <w:t xml:space="preserve">人/非法人单位负责人。</w:t>
      </w:r>
      <w:r/>
    </w:p>
    <w:p>
      <w:pPr>
        <w:pStyle w:val="715"/>
        <w:ind w:firstLine="420"/>
        <w:spacing w:before="170"/>
        <w:rPr>
          <w:rFonts w:ascii="Arial" w:hAnsi="Arial" w:cs="Arial"/>
          <w:color w:val="auto"/>
          <w:highlight w:val="none"/>
        </w:rPr>
      </w:pPr>
      <w:r>
        <w:rPr>
          <w:rFonts w:ascii="Arial" w:hAnsi="Arial" w:cs="Arial"/>
          <w:color w:val="auto"/>
          <w:highlight w:val="none"/>
        </w:rPr>
        <w:t xml:space="preserve">特此证明。</w:t>
      </w:r>
      <w:r/>
    </w:p>
    <w:p>
      <w:pPr>
        <w:pStyle w:val="715"/>
        <w:ind w:left="1260" w:firstLine="354"/>
        <w:rPr>
          <w:rFonts w:ascii="Arial" w:hAnsi="Arial" w:cs="Arial"/>
          <w:color w:val="auto"/>
          <w:sz w:val="20"/>
          <w:highlight w:val="none"/>
        </w:rPr>
      </w:pPr>
      <w:r>
        <w:rPr>
          <w:rFonts w:ascii="Arial" w:hAnsi="Arial" w:cs="Arial"/>
          <w:color w:val="auto"/>
          <w:sz w:val="20"/>
          <w:highlight w:val="none"/>
        </w:rPr>
      </w:r>
      <w:r/>
    </w:p>
    <w:p>
      <w:pPr>
        <w:pStyle w:val="715"/>
        <w:ind w:left="1260" w:firstLine="478"/>
        <w:spacing w:before="10"/>
        <w:rPr>
          <w:rFonts w:ascii="Arial" w:hAnsi="Arial" w:cs="Arial"/>
          <w:color w:val="auto"/>
          <w:sz w:val="27"/>
          <w:highlight w:val="none"/>
        </w:rPr>
      </w:pPr>
      <w:r>
        <w:rPr>
          <w:rFonts w:ascii="Arial" w:hAnsi="Arial" w:cs="Arial"/>
          <w:color w:val="auto"/>
          <w:sz w:val="27"/>
          <w:highlight w:val="none"/>
        </w:rPr>
      </w:r>
      <w:r/>
    </w:p>
    <w:p>
      <w:pPr>
        <w:ind w:firstLine="372"/>
        <w:spacing w:line="480" w:lineRule="auto"/>
        <w:rPr>
          <w:rFonts w:ascii="Arial" w:hAnsi="Arial" w:cs="Arial"/>
          <w:color w:val="auto"/>
          <w:highlight w:val="none"/>
        </w:rPr>
      </w:pPr>
      <w:r>
        <w:rPr>
          <w:rFonts w:ascii="Arial" w:hAnsi="Arial" w:cs="Arial"/>
          <w:color w:val="auto"/>
          <w:highlight w:val="none"/>
        </w:rPr>
        <w:t xml:space="preserve">附：法定代表人（非法人单位负责人）有效期内的身份证复印件（正反面）</w:t>
      </w:r>
      <w:r/>
    </w:p>
    <w:p>
      <w:pPr>
        <w:ind w:firstLine="372"/>
        <w:spacing w:line="480" w:lineRule="auto"/>
        <w:rPr>
          <w:rFonts w:ascii="Arial" w:hAnsi="Arial" w:cs="Arial"/>
          <w:color w:val="auto"/>
          <w:highlight w:val="none"/>
        </w:rPr>
      </w:pPr>
      <w:r>
        <w:rPr>
          <w:rFonts w:ascii="Arial" w:hAnsi="Arial" w:cs="Arial"/>
          <w:color w:val="auto"/>
          <w:highlight w:val="none"/>
        </w:rPr>
      </w:r>
      <w:r/>
    </w:p>
    <w:tbl>
      <w:tblPr>
        <w:tblStyle w:val="70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15"/>
              <w:jc w:val="center"/>
              <w:spacing w:line="300" w:lineRule="exact"/>
              <w:rPr>
                <w:rFonts w:ascii="Arial" w:hAnsi="Arial" w:cs="Arial"/>
                <w:i/>
                <w:color w:val="auto"/>
                <w:sz w:val="20"/>
                <w:highlight w:val="none"/>
              </w:rPr>
            </w:pPr>
            <w:r>
              <w:rPr>
                <w:rFonts w:ascii="Arial" w:hAnsi="Arial" w:cs="Arial"/>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Arial" w:hAnsi="Arial" w:cs="Arial"/>
                <w:color w:val="auto"/>
                <w:sz w:val="20"/>
                <w:highlight w:val="none"/>
              </w:rPr>
            </w:pPr>
            <w:r>
              <w:rPr>
                <w:rFonts w:ascii="Arial" w:hAnsi="Arial" w:cs="Arial"/>
                <w:color w:val="auto"/>
                <w:sz w:val="20"/>
                <w:highlight w:val="none"/>
              </w:rPr>
            </w:r>
            <w:r/>
          </w:p>
        </w:tc>
        <w:tc>
          <w:tcPr>
            <w:tcW w:w="4677" w:type="dxa"/>
            <w:vAlign w:val="center"/>
            <w:textDirection w:val="lrTb"/>
            <w:noWrap w:val="false"/>
          </w:tcPr>
          <w:p>
            <w:pPr>
              <w:jc w:val="center"/>
              <w:spacing w:line="300" w:lineRule="exact"/>
              <w:widowControl/>
              <w:rPr>
                <w:rFonts w:ascii="Arial" w:hAnsi="Arial" w:cs="Arial"/>
                <w:color w:val="auto"/>
                <w:sz w:val="20"/>
                <w:highlight w:val="none"/>
              </w:rPr>
            </w:pPr>
            <w:r>
              <w:rPr>
                <w:rFonts w:ascii="Arial" w:hAnsi="Arial" w:cs="Arial"/>
                <w:i/>
                <w:color w:val="auto"/>
                <w:sz w:val="24"/>
                <w:highlight w:val="none"/>
              </w:rPr>
              <w:t xml:space="preserve">身份证反面</w:t>
            </w:r>
            <w:r/>
          </w:p>
        </w:tc>
      </w:tr>
    </w:tbl>
    <w:p>
      <w:pPr>
        <w:pStyle w:val="715"/>
        <w:ind w:firstLine="354"/>
        <w:rPr>
          <w:rFonts w:ascii="Arial" w:hAnsi="Arial" w:cs="Arial"/>
          <w:color w:val="auto"/>
          <w:sz w:val="20"/>
          <w:highlight w:val="none"/>
        </w:rPr>
      </w:pPr>
      <w:r>
        <w:rPr>
          <w:rFonts w:ascii="Arial" w:hAnsi="Arial" w:cs="Arial"/>
          <w:color w:val="auto"/>
          <w:sz w:val="20"/>
          <w:highlight w:val="none"/>
        </w:rPr>
      </w:r>
      <w:r/>
    </w:p>
    <w:p>
      <w:pPr>
        <w:pStyle w:val="715"/>
        <w:ind w:firstLine="354"/>
        <w:rPr>
          <w:rFonts w:ascii="Arial" w:hAnsi="Arial" w:cs="Arial"/>
          <w:color w:val="auto"/>
          <w:sz w:val="20"/>
          <w:highlight w:val="none"/>
        </w:rPr>
      </w:pPr>
      <w:r>
        <w:rPr>
          <w:rFonts w:ascii="Arial" w:hAnsi="Arial" w:cs="Arial"/>
          <w:color w:val="auto"/>
          <w:sz w:val="20"/>
          <w:highlight w:val="none"/>
        </w:rPr>
      </w:r>
      <w:r/>
    </w:p>
    <w:p>
      <w:pPr>
        <w:pStyle w:val="715"/>
        <w:ind w:left="1260" w:firstLine="354"/>
        <w:rPr>
          <w:rFonts w:ascii="Arial" w:hAnsi="Arial" w:cs="Arial"/>
          <w:color w:val="auto"/>
          <w:sz w:val="20"/>
          <w:highlight w:val="none"/>
        </w:rPr>
      </w:pPr>
      <w:r>
        <w:rPr>
          <w:rFonts w:ascii="Arial" w:hAnsi="Arial" w:cs="Arial"/>
          <w:color w:val="auto"/>
          <w:sz w:val="20"/>
          <w:highlight w:val="none"/>
        </w:rPr>
      </w:r>
      <w:r/>
    </w:p>
    <w:p>
      <w:pPr>
        <w:pStyle w:val="715"/>
        <w:ind w:left="1260" w:firstLine="389"/>
        <w:spacing w:before="1"/>
        <w:rPr>
          <w:rFonts w:ascii="Arial" w:hAnsi="Arial" w:cs="Arial"/>
          <w:color w:val="auto"/>
          <w:sz w:val="22"/>
          <w:highlight w:val="none"/>
        </w:rPr>
      </w:pPr>
      <w:r>
        <w:rPr>
          <w:rFonts w:ascii="Arial" w:hAnsi="Arial" w:cs="Arial"/>
          <w:color w:val="auto"/>
          <w:sz w:val="22"/>
          <w:highlight w:val="none"/>
        </w:rPr>
      </w:r>
      <w:r/>
    </w:p>
    <w:p>
      <w:pPr>
        <w:pStyle w:val="715"/>
        <w:ind w:left="1260" w:firstLine="5210"/>
        <w:tabs>
          <w:tab w:val="left" w:pos="7977" w:leader="none"/>
        </w:tabs>
        <w:rPr>
          <w:rFonts w:ascii="Arial" w:hAnsi="Arial" w:cs="Arial"/>
          <w:color w:val="auto"/>
          <w:highlight w:val="none"/>
        </w:rPr>
      </w:pPr>
      <w:r>
        <w:rPr>
          <w:rFonts w:ascii="Arial" w:hAnsi="Arial" w:cs="Arial"/>
          <w:color w:val="auto"/>
          <w:spacing w:val="-3"/>
          <w:highlight w:val="none"/>
        </w:rPr>
        <w:t xml:space="preserve">投标人名称（</w:t>
      </w:r>
      <w:r>
        <w:rPr>
          <w:rFonts w:hint="eastAsia" w:ascii="Arial" w:hAnsi="Arial" w:cs="Arial"/>
          <w:color w:val="auto"/>
          <w:spacing w:val="-3"/>
          <w:highlight w:val="none"/>
        </w:rPr>
        <w:t xml:space="preserve">加盖电子公章</w:t>
      </w:r>
      <w:r>
        <w:rPr>
          <w:rFonts w:ascii="Arial" w:hAnsi="Arial" w:cs="Arial"/>
          <w:color w:val="auto"/>
          <w:spacing w:val="-3"/>
          <w:highlight w:val="none"/>
        </w:rPr>
        <w:t xml:space="preserve">）</w:t>
      </w:r>
      <w:r>
        <w:rPr>
          <w:rFonts w:ascii="Arial" w:hAnsi="Arial" w:cs="Arial"/>
          <w:color w:val="auto"/>
          <w:highlight w:val="none"/>
        </w:rPr>
        <w:t xml:space="preserve">：</w:t>
      </w:r>
      <w:r>
        <w:rPr>
          <w:rFonts w:ascii="Arial" w:hAnsi="Arial" w:cs="Arial"/>
          <w:color w:val="auto"/>
          <w:highlight w:val="none"/>
          <w:u w:val="single"/>
        </w:rPr>
        <w:tab/>
      </w:r>
      <w:r/>
    </w:p>
    <w:p>
      <w:pPr>
        <w:pStyle w:val="736"/>
        <w:ind w:firstLine="372"/>
        <w:jc w:val="right"/>
        <w:spacing w:after="0" w:line="360" w:lineRule="exact"/>
        <w:rPr>
          <w:rFonts w:ascii="Arial" w:hAnsi="Arial" w:cs="Arial"/>
          <w:color w:val="auto"/>
          <w:szCs w:val="21"/>
          <w:highlight w:val="none"/>
        </w:rPr>
      </w:pPr>
      <w:r>
        <w:rPr>
          <w:rFonts w:ascii="Arial" w:hAnsi="Arial" w:cs="Arial"/>
          <w:color w:val="auto"/>
          <w:szCs w:val="21"/>
          <w:highlight w:val="none"/>
        </w:rPr>
        <w:t xml:space="preserve">日期：______年</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rPr>
        <w:t xml:space="preserve">月</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color w:val="auto"/>
          <w:szCs w:val="21"/>
          <w:highlight w:val="none"/>
        </w:rPr>
        <w:t xml:space="preserve">日</w:t>
      </w:r>
      <w:r/>
    </w:p>
    <w:p>
      <w:pPr>
        <w:rPr>
          <w:rFonts w:ascii="Arial" w:hAnsi="Arial" w:cs="Arial"/>
          <w:color w:val="auto"/>
          <w:highlight w:val="none"/>
        </w:rPr>
      </w:pPr>
      <w:r>
        <w:rPr>
          <w:rFonts w:ascii="Arial" w:hAnsi="Arial" w:cs="Arial"/>
          <w:color w:val="auto"/>
          <w:highlight w:val="none"/>
        </w:rPr>
      </w:r>
      <w:r/>
    </w:p>
    <w:p>
      <w:pPr>
        <w:pStyle w:val="738"/>
        <w:ind w:firstLine="426"/>
        <w:spacing w:before="0"/>
        <w:rPr>
          <w:rFonts w:ascii="Arial" w:hAnsi="Arial" w:cs="Arial"/>
          <w:bCs w:val="0"/>
          <w:color w:val="auto"/>
          <w:sz w:val="24"/>
          <w:szCs w:val="24"/>
          <w:highlight w:val="none"/>
        </w:rPr>
      </w:pPr>
      <w:r>
        <w:rPr>
          <w:rFonts w:ascii="Arial" w:hAnsi="Arial" w:cs="Arial"/>
          <w:color w:val="auto"/>
          <w:sz w:val="24"/>
          <w:szCs w:val="24"/>
          <w:highlight w:val="none"/>
        </w:rPr>
        <w:br w:type="page" w:clear="all"/>
      </w:r>
      <w:bookmarkStart w:id="275" w:name="_Toc104560899"/>
      <w:r/>
      <w:bookmarkStart w:id="276" w:name="_Toc107246277"/>
      <w:r/>
      <w:bookmarkStart w:id="277" w:name="_Toc103848584"/>
      <w:r>
        <w:rPr>
          <w:rFonts w:ascii="Arial" w:hAnsi="Arial" w:cs="Arial"/>
          <w:bCs w:val="0"/>
          <w:color w:val="auto"/>
          <w:sz w:val="24"/>
          <w:szCs w:val="24"/>
          <w:highlight w:val="none"/>
        </w:rPr>
        <w:t xml:space="preserve">（3）法定代表人授权委托书</w:t>
      </w:r>
      <w:bookmarkEnd w:id="275"/>
      <w:r/>
      <w:bookmarkEnd w:id="276"/>
      <w:r/>
      <w:bookmarkEnd w:id="277"/>
      <w:r>
        <w:rPr>
          <w:rFonts w:ascii="Arial" w:hAnsi="Arial" w:cs="Arial"/>
          <w:bCs w:val="0"/>
          <w:color w:val="auto"/>
          <w:sz w:val="24"/>
          <w:szCs w:val="24"/>
          <w:highlight w:val="none"/>
        </w:rPr>
        <w:t xml:space="preserve">（适用于法人/非法人）</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本授权书声明：注册于</w:t>
      </w:r>
      <w:r>
        <w:rPr>
          <w:rFonts w:ascii="Arial" w:hAnsi="Arial" w:cs="Arial"/>
          <w:color w:val="auto"/>
          <w:szCs w:val="21"/>
          <w:highlight w:val="none"/>
          <w:u w:val="single"/>
        </w:rPr>
        <w:t xml:space="preserve">（国家或地区的名称）</w:t>
      </w:r>
      <w:r>
        <w:rPr>
          <w:rFonts w:ascii="Arial" w:hAnsi="Arial" w:cs="Arial"/>
          <w:color w:val="auto"/>
          <w:szCs w:val="21"/>
          <w:highlight w:val="none"/>
        </w:rPr>
        <w:t xml:space="preserve">的</w:t>
      </w:r>
      <w:r>
        <w:rPr>
          <w:rFonts w:ascii="Arial" w:hAnsi="Arial" w:cs="Arial"/>
          <w:color w:val="auto"/>
          <w:szCs w:val="21"/>
          <w:highlight w:val="none"/>
          <w:u w:val="single"/>
        </w:rPr>
        <w:t xml:space="preserve">         （单位名称）      </w:t>
      </w:r>
      <w:r>
        <w:rPr>
          <w:rFonts w:ascii="Arial" w:hAnsi="Arial" w:cs="Arial"/>
          <w:color w:val="auto"/>
          <w:szCs w:val="21"/>
          <w:highlight w:val="none"/>
        </w:rPr>
        <w:t xml:space="preserve">的在法定代表人（签字或盖章）处签字的</w:t>
      </w:r>
      <w:r>
        <w:rPr>
          <w:rFonts w:ascii="Arial" w:hAnsi="Arial" w:cs="Arial"/>
          <w:color w:val="auto"/>
          <w:szCs w:val="21"/>
          <w:highlight w:val="none"/>
          <w:u w:val="single"/>
        </w:rPr>
        <w:t xml:space="preserve">   （法定代表人姓名、职务）   </w:t>
      </w:r>
      <w:r>
        <w:rPr>
          <w:rFonts w:ascii="Arial" w:hAnsi="Arial" w:cs="Arial"/>
          <w:color w:val="auto"/>
          <w:szCs w:val="21"/>
          <w:highlight w:val="none"/>
        </w:rPr>
        <w:t xml:space="preserve">代表本单位授权 </w:t>
      </w:r>
      <w:r>
        <w:rPr>
          <w:rFonts w:ascii="Arial" w:hAnsi="Arial" w:cs="Arial"/>
          <w:color w:val="auto"/>
          <w:szCs w:val="21"/>
          <w:highlight w:val="none"/>
          <w:u w:val="single"/>
        </w:rPr>
        <w:t xml:space="preserve">        （单位名称）      </w:t>
      </w:r>
      <w:r>
        <w:rPr>
          <w:rFonts w:ascii="Arial" w:hAnsi="Arial" w:cs="Arial"/>
          <w:color w:val="auto"/>
          <w:szCs w:val="21"/>
          <w:highlight w:val="none"/>
        </w:rPr>
        <w:t xml:space="preserve">的在授权代表（签字）处签字的</w:t>
      </w:r>
      <w:r>
        <w:rPr>
          <w:rFonts w:ascii="Arial" w:hAnsi="Arial" w:cs="Arial"/>
          <w:color w:val="auto"/>
          <w:szCs w:val="21"/>
          <w:highlight w:val="none"/>
          <w:u w:val="single"/>
        </w:rPr>
        <w:t xml:space="preserve">（授权代表的姓名、职务）（身份证号码：             ）</w:t>
      </w:r>
      <w:r>
        <w:rPr>
          <w:rFonts w:ascii="Arial" w:hAnsi="Arial" w:cs="Arial"/>
          <w:color w:val="auto"/>
          <w:szCs w:val="21"/>
          <w:highlight w:val="none"/>
        </w:rPr>
        <w:t xml:space="preserve">为本单位的合法代理人，就</w:t>
      </w:r>
      <w:r>
        <w:rPr>
          <w:rFonts w:hint="eastAsia" w:ascii="Arial" w:hAnsi="Arial" w:cs="Arial"/>
          <w:color w:val="auto"/>
          <w:szCs w:val="21"/>
          <w:highlight w:val="none"/>
          <w:u w:val="single"/>
          <w:lang w:val="en-US" w:eastAsia="zh-CN"/>
        </w:rPr>
        <w:t xml:space="preserve">                </w:t>
      </w:r>
      <w:r>
        <w:rPr>
          <w:rFonts w:ascii="Arial" w:hAnsi="Arial" w:cs="Arial"/>
          <w:color w:val="auto"/>
          <w:szCs w:val="21"/>
          <w:highlight w:val="none"/>
          <w:u w:val="single"/>
        </w:rPr>
        <w:t xml:space="preserve">（项目名称）（项目编号：</w:t>
      </w:r>
      <w:r>
        <w:rPr>
          <w:rFonts w:hint="eastAsia" w:ascii="Arial" w:hAnsi="Arial" w:cs="Arial"/>
          <w:color w:val="auto"/>
          <w:szCs w:val="21"/>
          <w:highlight w:val="none"/>
          <w:u w:val="single"/>
          <w:lang w:val="en-US" w:eastAsia="zh-CN"/>
        </w:rPr>
        <w:t xml:space="preserve">  </w:t>
      </w:r>
      <w:r>
        <w:rPr>
          <w:rFonts w:ascii="Arial" w:hAnsi="Arial" w:cs="Arial"/>
          <w:color w:val="auto"/>
          <w:szCs w:val="21"/>
          <w:highlight w:val="none"/>
          <w:u w:val="single"/>
        </w:rPr>
        <w:t xml:space="preserve">）</w:t>
      </w:r>
      <w:r>
        <w:rPr>
          <w:rFonts w:ascii="Arial" w:hAnsi="Arial" w:cs="Arial"/>
          <w:color w:val="auto"/>
          <w:szCs w:val="21"/>
          <w:highlight w:val="none"/>
        </w:rPr>
        <w:t xml:space="preserve">以本单位名义处理一切与之相关的事务，其后果由我单位承担。</w:t>
      </w:r>
      <w:r/>
    </w:p>
    <w:p>
      <w:pPr>
        <w:ind w:firstLine="420"/>
        <w:spacing w:line="360" w:lineRule="auto"/>
        <w:rPr>
          <w:rFonts w:ascii="Arial" w:hAnsi="Arial" w:cs="Arial"/>
          <w:color w:val="auto"/>
          <w:highlight w:val="none"/>
        </w:rPr>
      </w:pPr>
      <w:r>
        <w:rPr>
          <w:rFonts w:ascii="Arial" w:hAnsi="Arial" w:cs="Arial"/>
          <w:color w:val="auto"/>
          <w:highlight w:val="none"/>
        </w:rPr>
        <w:t xml:space="preserve">代理人无转委托权，特此委托。</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委托期限：自本授权委托书签署之日起至投标有效期届满之日止。</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投标人名称（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p>
    <w:p>
      <w:pPr>
        <w:ind w:firstLine="372"/>
        <w:spacing w:line="480" w:lineRule="auto"/>
        <w:rPr>
          <w:rFonts w:ascii="Arial" w:hAnsi="Arial" w:cs="Arial"/>
          <w:color w:val="auto"/>
          <w:szCs w:val="21"/>
          <w:highlight w:val="none"/>
        </w:rPr>
      </w:pPr>
      <w:r>
        <w:rPr>
          <w:rFonts w:ascii="Arial" w:hAnsi="Arial" w:cs="Arial"/>
          <w:color w:val="auto"/>
          <w:szCs w:val="21"/>
          <w:highlight w:val="none"/>
        </w:rPr>
      </w:r>
      <w:r/>
    </w:p>
    <w:p>
      <w:pPr>
        <w:ind w:firstLine="372"/>
        <w:spacing w:line="480" w:lineRule="auto"/>
        <w:rPr>
          <w:rFonts w:ascii="Arial" w:hAnsi="Arial" w:cs="Arial"/>
          <w:color w:val="auto"/>
          <w:highlight w:val="none"/>
        </w:rPr>
      </w:pPr>
      <w:r>
        <w:rPr>
          <w:rFonts w:ascii="Arial" w:hAnsi="Arial" w:cs="Arial"/>
          <w:color w:val="auto"/>
          <w:szCs w:val="21"/>
          <w:highlight w:val="none"/>
        </w:rPr>
        <w:t xml:space="preserve">附：法定代表人有效期内的</w:t>
      </w:r>
      <w:r>
        <w:rPr>
          <w:rFonts w:ascii="Arial" w:hAnsi="Arial" w:cs="Arial"/>
          <w:color w:val="auto"/>
          <w:highlight w:val="none"/>
        </w:rPr>
        <w:t xml:space="preserve">身份证复印件（正反面）</w:t>
      </w:r>
      <w:r/>
    </w:p>
    <w:tbl>
      <w:tblPr>
        <w:tblStyle w:val="70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15"/>
              <w:jc w:val="center"/>
              <w:spacing w:line="300" w:lineRule="exact"/>
              <w:rPr>
                <w:rFonts w:ascii="Arial" w:hAnsi="Arial" w:cs="Arial"/>
                <w:i/>
                <w:color w:val="auto"/>
                <w:sz w:val="20"/>
                <w:highlight w:val="none"/>
              </w:rPr>
            </w:pPr>
            <w:r>
              <w:rPr>
                <w:rFonts w:ascii="Arial" w:hAnsi="Arial" w:cs="Arial"/>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ascii="Arial" w:hAnsi="Arial" w:cs="Arial"/>
                <w:color w:val="auto"/>
                <w:sz w:val="20"/>
                <w:highlight w:val="none"/>
              </w:rPr>
            </w:pPr>
            <w:r>
              <w:rPr>
                <w:rFonts w:ascii="Arial" w:hAnsi="Arial" w:cs="Arial"/>
                <w:color w:val="auto"/>
                <w:sz w:val="20"/>
                <w:highlight w:val="none"/>
              </w:rPr>
            </w:r>
            <w:r/>
          </w:p>
        </w:tc>
        <w:tc>
          <w:tcPr>
            <w:tcW w:w="4677" w:type="dxa"/>
            <w:vAlign w:val="center"/>
            <w:textDirection w:val="lrTb"/>
            <w:noWrap w:val="false"/>
          </w:tcPr>
          <w:p>
            <w:pPr>
              <w:jc w:val="center"/>
              <w:spacing w:line="300" w:lineRule="exact"/>
              <w:widowControl/>
              <w:rPr>
                <w:rFonts w:ascii="Arial" w:hAnsi="Arial" w:cs="Arial"/>
                <w:color w:val="auto"/>
                <w:sz w:val="20"/>
                <w:highlight w:val="none"/>
              </w:rPr>
            </w:pPr>
            <w:r>
              <w:rPr>
                <w:rFonts w:ascii="Arial" w:hAnsi="Arial" w:cs="Arial"/>
                <w:i/>
                <w:color w:val="auto"/>
                <w:sz w:val="24"/>
                <w:highlight w:val="none"/>
              </w:rPr>
              <w:t xml:space="preserve">身份证反面</w:t>
            </w:r>
            <w:r/>
          </w:p>
        </w:tc>
      </w:tr>
    </w:tbl>
    <w:p>
      <w:pPr>
        <w:ind w:firstLine="372"/>
        <w:spacing w:line="480" w:lineRule="auto"/>
        <w:rPr>
          <w:rFonts w:ascii="Arial" w:hAnsi="Arial" w:cs="Arial"/>
          <w:color w:val="auto"/>
          <w:highlight w:val="none"/>
        </w:rPr>
      </w:pPr>
      <w:r>
        <w:rPr>
          <w:rFonts w:ascii="Arial" w:hAnsi="Arial" w:cs="Arial"/>
          <w:color w:val="auto"/>
          <w:szCs w:val="21"/>
          <w:highlight w:val="none"/>
        </w:rPr>
        <w:t xml:space="preserve">授权代表有效期内的身份证复印件</w:t>
      </w:r>
      <w:r>
        <w:rPr>
          <w:rFonts w:ascii="Arial" w:hAnsi="Arial" w:cs="Arial"/>
          <w:color w:val="auto"/>
          <w:highlight w:val="none"/>
        </w:rPr>
        <w:t xml:space="preserve">（正反面）</w:t>
      </w:r>
      <w:r/>
    </w:p>
    <w:tbl>
      <w:tblPr>
        <w:tblStyle w:val="70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15"/>
              <w:jc w:val="center"/>
              <w:spacing w:line="300" w:lineRule="exact"/>
              <w:rPr>
                <w:rFonts w:ascii="Arial" w:hAnsi="Arial" w:cs="Arial"/>
                <w:i/>
                <w:color w:val="auto"/>
                <w:sz w:val="20"/>
                <w:highlight w:val="none"/>
              </w:rPr>
            </w:pPr>
            <w:r>
              <w:rPr>
                <w:rFonts w:ascii="Arial" w:hAnsi="Arial" w:cs="Arial"/>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ascii="Arial" w:hAnsi="Arial" w:cs="Arial"/>
                <w:color w:val="auto"/>
                <w:sz w:val="20"/>
                <w:highlight w:val="none"/>
              </w:rPr>
            </w:pPr>
            <w:r>
              <w:rPr>
                <w:rFonts w:ascii="Arial" w:hAnsi="Arial" w:cs="Arial"/>
                <w:color w:val="auto"/>
                <w:sz w:val="20"/>
                <w:highlight w:val="none"/>
              </w:rPr>
            </w:r>
            <w:r/>
          </w:p>
        </w:tc>
        <w:tc>
          <w:tcPr>
            <w:tcW w:w="4695" w:type="dxa"/>
            <w:vAlign w:val="center"/>
            <w:textDirection w:val="lrTb"/>
            <w:noWrap w:val="false"/>
          </w:tcPr>
          <w:p>
            <w:pPr>
              <w:jc w:val="center"/>
              <w:spacing w:line="300" w:lineRule="exact"/>
              <w:widowControl/>
              <w:rPr>
                <w:rFonts w:ascii="Arial" w:hAnsi="Arial" w:cs="Arial"/>
                <w:color w:val="auto"/>
                <w:sz w:val="20"/>
                <w:highlight w:val="none"/>
              </w:rPr>
            </w:pPr>
            <w:r>
              <w:rPr>
                <w:rFonts w:ascii="Arial" w:hAnsi="Arial" w:cs="Arial"/>
                <w:i/>
                <w:color w:val="auto"/>
                <w:sz w:val="24"/>
                <w:highlight w:val="none"/>
              </w:rPr>
              <w:t xml:space="preserve">身份证反面</w:t>
            </w:r>
            <w:r/>
          </w:p>
        </w:tc>
      </w:tr>
    </w:tbl>
    <w:p>
      <w:pPr>
        <w:ind w:firstLine="373"/>
        <w:rPr>
          <w:rFonts w:ascii="Arial" w:hAnsi="Arial" w:cs="Arial"/>
          <w:b/>
          <w:bCs/>
          <w:color w:val="auto"/>
          <w:szCs w:val="21"/>
          <w:highlight w:val="none"/>
        </w:rPr>
      </w:pPr>
      <w:r/>
      <w:bookmarkStart w:id="278" w:name="_Toc107246279"/>
      <w:r/>
      <w:bookmarkStart w:id="279" w:name="_Toc104560895"/>
      <w:r>
        <w:rPr>
          <w:rFonts w:ascii="Arial" w:hAnsi="Arial" w:cs="Arial"/>
          <w:b/>
          <w:bCs/>
          <w:color w:val="auto"/>
          <w:szCs w:val="21"/>
          <w:highlight w:val="none"/>
        </w:rPr>
        <w:br w:type="page" w:clear="all"/>
      </w:r>
      <w:r/>
    </w:p>
    <w:p>
      <w:pPr>
        <w:pStyle w:val="738"/>
        <w:numPr>
          <w:ilvl w:val="0"/>
          <w:numId w:val="2"/>
        </w:numPr>
        <w:ind w:firstLine="426"/>
        <w:rPr>
          <w:rFonts w:ascii="Arial" w:hAnsi="Arial" w:cs="Arial"/>
          <w:bCs w:val="0"/>
          <w:color w:val="auto"/>
          <w:sz w:val="24"/>
          <w:szCs w:val="24"/>
          <w:highlight w:val="none"/>
        </w:rPr>
      </w:pPr>
      <w:r>
        <w:rPr>
          <w:rFonts w:ascii="Arial" w:hAnsi="Arial" w:cs="Arial"/>
          <w:bCs w:val="0"/>
          <w:color w:val="auto"/>
          <w:sz w:val="24"/>
          <w:szCs w:val="24"/>
          <w:highlight w:val="none"/>
        </w:rPr>
        <w:t xml:space="preserve">开标一览表</w:t>
      </w:r>
      <w:bookmarkEnd w:id="270"/>
      <w:r/>
      <w:bookmarkEnd w:id="278"/>
      <w:r/>
      <w:bookmarkEnd w:id="279"/>
      <w:r/>
      <w:r/>
    </w:p>
    <w:p>
      <w:pPr>
        <w:ind w:firstLine="372"/>
        <w:rPr>
          <w:rFonts w:ascii="Arial" w:hAnsi="Arial" w:cs="Arial"/>
          <w:color w:val="auto"/>
          <w:highlight w:val="none"/>
        </w:rPr>
      </w:pPr>
      <w:r>
        <w:rPr>
          <w:rFonts w:ascii="Arial" w:hAnsi="Arial" w:cs="Arial"/>
          <w:color w:val="auto"/>
          <w:highlight w:val="none"/>
        </w:rPr>
      </w:r>
      <w:r/>
    </w:p>
    <w:p>
      <w:pPr>
        <w:ind w:left="17"/>
        <w:spacing w:before="78" w:line="219" w:lineRule="auto"/>
        <w:rPr>
          <w:rFonts w:hint="eastAsia" w:ascii="宋体" w:hAnsi="宋体" w:eastAsia="宋体" w:cs="宋体"/>
          <w:color w:val="auto"/>
          <w:sz w:val="24"/>
          <w:szCs w:val="24"/>
          <w:highlight w:val="none"/>
        </w:rPr>
      </w:pPr>
      <w:r/>
      <w:bookmarkStart w:id="280" w:name="_Toc104560896"/>
      <w:r/>
      <w:bookmarkStart w:id="281" w:name="_Toc103848581"/>
      <w:r>
        <w:rPr>
          <w:rFonts w:hint="eastAsia" w:ascii="宋体" w:hAnsi="宋体" w:eastAsia="宋体" w:cs="宋体"/>
          <w:color w:val="auto"/>
          <w:spacing w:val="1"/>
          <w:sz w:val="24"/>
          <w:szCs w:val="24"/>
          <w:highlight w:val="none"/>
        </w:rPr>
        <w:t xml:space="preserve">投标人名称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加盖电子公章）</w:t>
      </w:r>
      <w:r/>
    </w:p>
    <w:p>
      <w:pPr>
        <w:ind w:left="18"/>
        <w:spacing w:before="2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项目名称：</w:t>
      </w:r>
      <w:r/>
    </w:p>
    <w:p>
      <w:pPr>
        <w:ind w:left="18"/>
        <w:spacing w:before="292"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spacing w:val="-1"/>
          <w:sz w:val="24"/>
          <w:szCs w:val="24"/>
          <w:highlight w:val="none"/>
        </w:rPr>
        <w:t xml:space="preserve">          采购包号：</w:t>
      </w:r>
      <w:r/>
    </w:p>
    <w:p>
      <w:pPr>
        <w:spacing w:line="126" w:lineRule="exact"/>
        <w:rPr>
          <w:rFonts w:hint="default"/>
          <w:color w:val="auto"/>
          <w:sz w:val="21"/>
          <w:szCs w:val="21"/>
          <w:highlight w:val="none"/>
        </w:rPr>
      </w:pPr>
      <w:r>
        <w:rPr>
          <w:rFonts w:hint="default"/>
          <w:color w:val="auto"/>
          <w:sz w:val="21"/>
          <w:szCs w:val="21"/>
          <w:highlight w:val="none"/>
        </w:rPr>
      </w:r>
      <w:r/>
    </w:p>
    <w:tbl>
      <w:tblPr>
        <w:tblStyle w:val="707"/>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0"/>
        <w:gridCol w:w="7009"/>
      </w:tblGrid>
      <w:tr>
        <w:trPr>
          <w:cantSplit/>
          <w:jc w:val="center"/>
          <w:trHeight w:val="1127"/>
        </w:trPr>
        <w:tc>
          <w:tcPr>
            <w:tcW w:w="1394" w:type="pct"/>
            <w:vAlign w:val="center"/>
            <w:textDirection w:val="lrTb"/>
            <w:noWrap w:val="false"/>
          </w:tcPr>
          <w:p>
            <w:pPr>
              <w:jc w:val="center"/>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人民币报价总计</w:t>
            </w:r>
            <w:r/>
          </w:p>
          <w:p>
            <w:pPr>
              <w:jc w:val="center"/>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（元）</w:t>
            </w:r>
            <w:r/>
          </w:p>
        </w:tc>
        <w:tc>
          <w:tcPr>
            <w:tcW w:w="3605" w:type="pct"/>
            <w:vAlign w:val="center"/>
            <w:textDirection w:val="lrTb"/>
            <w:noWrap w:val="false"/>
          </w:tcPr>
          <w:p>
            <w:pPr>
              <w:jc w:val="both"/>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大写：</w:t>
            </w:r>
            <w:r/>
          </w:p>
          <w:p>
            <w:pPr>
              <w:pStyle w:val="1011"/>
              <w:ind w:firstLine="0"/>
              <w:jc w:val="left"/>
              <w:spacing w:before="0" w:after="0" w:line="360" w:lineRule="auto"/>
              <w:widowControl w:val="off"/>
              <w:rPr>
                <w:rFonts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小写：</w:t>
            </w:r>
            <w:r/>
          </w:p>
        </w:tc>
      </w:tr>
      <w:tr>
        <w:trPr>
          <w:cantSplit/>
          <w:jc w:val="center"/>
          <w:trHeight w:val="1361"/>
        </w:trPr>
        <w:tc>
          <w:tcPr>
            <w:tcW w:w="1394" w:type="pct"/>
            <w:vAlign w:val="center"/>
            <w:textDirection w:val="lrTb"/>
            <w:noWrap w:val="false"/>
          </w:tcPr>
          <w:p>
            <w:pPr>
              <w:jc w:val="center"/>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投标人是否属于小微型企业</w:t>
            </w:r>
            <w:r/>
          </w:p>
        </w:tc>
        <w:tc>
          <w:tcPr>
            <w:tcW w:w="3605" w:type="pct"/>
            <w:vAlign w:val="center"/>
            <w:textDirection w:val="lrTb"/>
            <w:noWrap w:val="false"/>
          </w:tcPr>
          <w:p>
            <w:pPr>
              <w:jc w:val="both"/>
              <w:spacing w:after="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宋体" w:hAnsi="Calibri" w:eastAsia="Arial" w:cs="宋体"/>
                <w:color w:val="auto"/>
                <w:sz w:val="24"/>
                <w:szCs w:val="24"/>
                <w:highlight w:val="none"/>
                <w:u w:val="single"/>
                <w:lang w:val="en-US" w:eastAsia="zh-CN" w:bidi="ar-SA"/>
              </w:rPr>
              <w:t xml:space="preserve">     </w:t>
            </w:r>
            <w:r>
              <w:rPr>
                <w:rFonts w:hint="eastAsia" w:ascii="宋体" w:hAnsi="Calibri" w:eastAsia="Arial" w:cs="宋体"/>
                <w:color w:val="auto"/>
                <w:spacing w:val="-3"/>
                <w:sz w:val="24"/>
                <w:szCs w:val="24"/>
                <w:highlight w:val="none"/>
                <w:u w:val="single"/>
                <w:lang w:val="en-US" w:eastAsia="zh-CN" w:bidi="ar-SA"/>
              </w:rPr>
              <w:t xml:space="preserve"> </w:t>
            </w:r>
            <w:r>
              <w:rPr>
                <w:rFonts w:hint="eastAsia" w:ascii="宋体" w:hAnsi="Calibri" w:eastAsia="Arial" w:cs="宋体"/>
                <w:color w:val="auto"/>
                <w:sz w:val="24"/>
                <w:szCs w:val="24"/>
                <w:highlight w:val="none"/>
                <w:u w:val="single"/>
                <w:lang w:val="en-US" w:eastAsia="zh-CN" w:bidi="ar-SA"/>
              </w:rPr>
              <w:t xml:space="preserve">   </w:t>
            </w:r>
            <w:r>
              <w:rPr>
                <w:rFonts w:hint="eastAsia" w:ascii="宋体" w:hAnsi="Calibri" w:eastAsia="Arial" w:cs="宋体"/>
                <w:color w:val="auto"/>
                <w:spacing w:val="-3"/>
                <w:sz w:val="24"/>
                <w:szCs w:val="24"/>
                <w:highlight w:val="none"/>
                <w:u w:val="single"/>
                <w:lang w:val="en-US" w:eastAsia="zh-CN" w:bidi="ar-SA"/>
              </w:rPr>
              <w:t xml:space="preserve"> </w:t>
            </w:r>
            <w:r>
              <w:rPr>
                <w:rFonts w:hint="eastAsia" w:ascii="宋体" w:hAnsi="Calibri" w:eastAsia="Arial" w:cs="宋体"/>
                <w:color w:val="auto"/>
                <w:sz w:val="24"/>
                <w:szCs w:val="24"/>
                <w:highlight w:val="none"/>
                <w:u w:val="single"/>
                <w:lang w:val="en-US" w:eastAsia="zh-CN" w:bidi="ar-SA"/>
              </w:rPr>
              <w:t xml:space="preserve">   </w:t>
            </w:r>
            <w:r>
              <w:rPr>
                <w:rFonts w:hint="eastAsia" w:ascii="宋体" w:hAnsi="Calibri" w:eastAsia="Arial" w:cs="宋体"/>
                <w:color w:val="auto"/>
                <w:spacing w:val="-3"/>
                <w:sz w:val="24"/>
                <w:szCs w:val="24"/>
                <w:highlight w:val="none"/>
                <w:u w:val="single"/>
                <w:lang w:val="en-US" w:eastAsia="zh-CN" w:bidi="ar-SA"/>
              </w:rPr>
              <w:t xml:space="preserve"> </w:t>
            </w:r>
            <w:r>
              <w:rPr>
                <w:rFonts w:hint="eastAsia" w:ascii="宋体" w:hAnsi="Calibri" w:eastAsia="Arial" w:cs="宋体"/>
                <w:color w:val="auto"/>
                <w:sz w:val="24"/>
                <w:szCs w:val="24"/>
                <w:highlight w:val="none"/>
                <w:u w:val="single"/>
                <w:lang w:val="en-US" w:eastAsia="zh-CN" w:bidi="ar-SA"/>
              </w:rPr>
              <w:t xml:space="preserve">   </w:t>
            </w:r>
            <w:r>
              <w:rPr>
                <w:rFonts w:hint="eastAsia" w:ascii="宋体" w:hAnsi="Calibri" w:eastAsia="Arial" w:cs="宋体"/>
                <w:color w:val="auto"/>
                <w:spacing w:val="-3"/>
                <w:sz w:val="24"/>
                <w:szCs w:val="24"/>
                <w:highlight w:val="none"/>
                <w:u w:val="single"/>
                <w:lang w:val="en-US" w:eastAsia="zh-CN" w:bidi="ar-SA"/>
              </w:rPr>
              <w:t xml:space="preserve"> </w:t>
            </w:r>
            <w:r>
              <w:rPr>
                <w:rFonts w:hint="eastAsia" w:ascii="宋体" w:hAnsi="Calibri" w:eastAsia="Arial" w:cs="宋体"/>
                <w:color w:val="auto"/>
                <w:sz w:val="24"/>
                <w:szCs w:val="24"/>
                <w:highlight w:val="none"/>
                <w:u w:val="single"/>
                <w:lang w:val="en-US" w:eastAsia="zh-CN" w:bidi="ar-SA"/>
              </w:rPr>
              <w:t xml:space="preserve"> </w:t>
            </w:r>
            <w:r>
              <w:rPr>
                <w:rFonts w:hint="eastAsia" w:ascii="宋体" w:hAnsi="Calibri" w:eastAsia="Arial" w:cs="宋体"/>
                <w:color w:val="auto"/>
                <w:spacing w:val="-1"/>
                <w:sz w:val="24"/>
                <w:szCs w:val="24"/>
                <w:highlight w:val="none"/>
                <w:u w:val="single"/>
                <w:lang w:val="en-US" w:eastAsia="zh-CN" w:bidi="ar-SA"/>
              </w:rPr>
              <w:t xml:space="preserve"> </w:t>
            </w:r>
            <w:r>
              <w:rPr>
                <w:rFonts w:hint="eastAsia" w:ascii="宋体" w:hAnsi="Calibri" w:eastAsia="Arial" w:cs="宋体"/>
                <w:color w:val="auto"/>
                <w:sz w:val="24"/>
                <w:szCs w:val="24"/>
                <w:highlight w:val="none"/>
                <w:lang w:val="en-US" w:eastAsia="zh-CN" w:bidi="ar-SA"/>
              </w:rPr>
              <w:t xml:space="preserve">（填写“是”或“否）</w:t>
            </w:r>
            <w:r/>
          </w:p>
        </w:tc>
      </w:tr>
    </w:tbl>
    <w:p>
      <w:pPr>
        <w:pStyle w:val="715"/>
        <w:spacing w:line="333" w:lineRule="auto"/>
        <w:rPr>
          <w:rFonts w:hint="default"/>
          <w:color w:val="auto"/>
          <w:sz w:val="21"/>
          <w:szCs w:val="21"/>
          <w:highlight w:val="none"/>
        </w:rPr>
      </w:pPr>
      <w:r>
        <w:rPr>
          <w:rFonts w:hint="default"/>
          <w:color w:val="auto"/>
          <w:sz w:val="21"/>
          <w:szCs w:val="21"/>
          <w:highlight w:val="none"/>
        </w:rPr>
      </w:r>
      <w:r/>
    </w:p>
    <w:p>
      <w:pPr>
        <w:pStyle w:val="715"/>
        <w:spacing w:line="334" w:lineRule="auto"/>
        <w:rPr>
          <w:rFonts w:hint="default"/>
          <w:color w:val="auto"/>
          <w:sz w:val="21"/>
          <w:szCs w:val="21"/>
          <w:highlight w:val="none"/>
        </w:rPr>
      </w:pPr>
      <w:r>
        <w:rPr>
          <w:rFonts w:hint="default"/>
          <w:color w:val="auto"/>
          <w:sz w:val="21"/>
          <w:szCs w:val="21"/>
          <w:highlight w:val="none"/>
        </w:rPr>
      </w:r>
      <w:r/>
    </w:p>
    <w:p>
      <w:pPr>
        <w:ind w:left="6055"/>
        <w:spacing w:before="79"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 xml:space="preserve">日</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21"/>
          <w:sz w:val="24"/>
          <w:szCs w:val="24"/>
          <w:highlight w:val="none"/>
        </w:rPr>
        <w:t xml:space="preserve">期：</w:t>
      </w:r>
      <w:r/>
    </w:p>
    <w:p>
      <w:pPr>
        <w:pStyle w:val="715"/>
        <w:spacing w:line="348" w:lineRule="auto"/>
        <w:rPr>
          <w:rFonts w:hint="default"/>
          <w:color w:val="auto"/>
          <w:sz w:val="21"/>
          <w:szCs w:val="21"/>
          <w:highlight w:val="none"/>
        </w:rPr>
      </w:pPr>
      <w:r>
        <w:rPr>
          <w:rFonts w:hint="default"/>
          <w:color w:val="auto"/>
          <w:sz w:val="21"/>
          <w:szCs w:val="21"/>
          <w:highlight w:val="none"/>
        </w:rPr>
      </w:r>
      <w:r/>
    </w:p>
    <w:p>
      <w:pPr>
        <w:pStyle w:val="715"/>
        <w:spacing w:line="349" w:lineRule="auto"/>
        <w:rPr>
          <w:rFonts w:hint="default"/>
          <w:color w:val="auto"/>
          <w:sz w:val="21"/>
          <w:szCs w:val="21"/>
          <w:highlight w:val="none"/>
        </w:rPr>
      </w:pPr>
      <w:r>
        <w:rPr>
          <w:rFonts w:hint="default"/>
          <w:color w:val="auto"/>
          <w:sz w:val="21"/>
          <w:szCs w:val="21"/>
          <w:highlight w:val="none"/>
        </w:rPr>
      </w:r>
      <w:r/>
    </w:p>
    <w:p>
      <w:pPr>
        <w:ind w:left="13" w:right="8" w:firstLine="483"/>
        <w:spacing w:before="78" w:line="364" w:lineRule="auto"/>
        <w:rPr>
          <w:rFonts w:hint="eastAsia" w:ascii="宋体" w:hAnsi="宋体" w:eastAsia="宋体" w:cs="宋体"/>
          <w:color w:val="auto"/>
          <w:sz w:val="24"/>
          <w:szCs w:val="24"/>
          <w:highlight w:val="none"/>
        </w:rPr>
      </w:pPr>
      <w:r>
        <w:rPr>
          <w:rFonts w:hint="eastAsia" w:ascii="宋体" w:hAnsi="宋体" w:eastAsia="宋体" w:cs="宋体"/>
          <w:b/>
          <w:color w:val="auto"/>
          <w:spacing w:val="-1"/>
          <w:sz w:val="24"/>
          <w:szCs w:val="24"/>
          <w:highlight w:val="none"/>
        </w:rPr>
        <w:t xml:space="preserve">备注：投标人报价低于采购项目预算</w:t>
      </w:r>
      <w:r>
        <w:rPr>
          <w:rFonts w:hint="eastAsia" w:ascii="宋体" w:hAnsi="宋体" w:eastAsia="宋体" w:cs="宋体"/>
          <w:color w:val="auto"/>
          <w:spacing w:val="-46"/>
          <w:sz w:val="24"/>
          <w:szCs w:val="24"/>
          <w:highlight w:val="none"/>
        </w:rPr>
        <w:t xml:space="preserve"> </w:t>
      </w:r>
      <w:r>
        <w:rPr>
          <w:rFonts w:hint="eastAsia" w:ascii="宋体" w:hAnsi="宋体" w:eastAsia="宋体" w:cs="宋体"/>
          <w:b/>
          <w:color w:val="auto"/>
          <w:spacing w:val="-1"/>
          <w:sz w:val="24"/>
          <w:szCs w:val="24"/>
          <w:highlight w:val="none"/>
        </w:rPr>
        <w:t xml:space="preserve">50%，或者低于采购项目最高限价45%</w:t>
      </w:r>
      <w:r>
        <w:rPr>
          <w:rFonts w:hint="eastAsia" w:ascii="宋体" w:hAnsi="宋体" w:eastAsia="宋体" w:cs="宋体"/>
          <w:b/>
          <w:color w:val="auto"/>
          <w:spacing w:val="-2"/>
          <w:sz w:val="24"/>
          <w:szCs w:val="24"/>
          <w:highlight w:val="none"/>
        </w:rPr>
        <w:t xml:space="preserve">，或者报价过</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pacing w:val="1"/>
          <w:sz w:val="24"/>
          <w:szCs w:val="24"/>
          <w:highlight w:val="none"/>
        </w:rPr>
        <w:t xml:space="preserve">低，有可能影响产品或服务质量或不能诚信履约的，评委会将启动异常低价</w:t>
      </w:r>
      <w:r>
        <w:rPr>
          <w:rFonts w:hint="eastAsia" w:ascii="宋体" w:hAnsi="宋体" w:eastAsia="宋体" w:cs="宋体"/>
          <w:b/>
          <w:color w:val="auto"/>
          <w:sz w:val="24"/>
          <w:szCs w:val="24"/>
          <w:highlight w:val="none"/>
        </w:rPr>
        <w:t xml:space="preserve">投标审查机制，</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pacing w:val="1"/>
          <w:sz w:val="24"/>
          <w:szCs w:val="24"/>
          <w:highlight w:val="none"/>
        </w:rPr>
        <w:t xml:space="preserve">投标人应在评委会规定的合理时间内通过苏采云系统提供项目具体成本测算</w:t>
      </w:r>
      <w:r>
        <w:rPr>
          <w:rFonts w:hint="eastAsia" w:ascii="宋体" w:hAnsi="宋体" w:eastAsia="宋体" w:cs="宋体"/>
          <w:b/>
          <w:color w:val="auto"/>
          <w:sz w:val="24"/>
          <w:szCs w:val="24"/>
          <w:highlight w:val="none"/>
        </w:rPr>
        <w:t xml:space="preserve">等与报价合理性</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pacing w:val="1"/>
          <w:sz w:val="24"/>
          <w:szCs w:val="24"/>
          <w:highlight w:val="none"/>
        </w:rPr>
        <w:t xml:space="preserve">相关的书面说明及相关证明材料。投标人不提供书面说明及证明材料，</w:t>
      </w:r>
      <w:r>
        <w:rPr>
          <w:rFonts w:hint="eastAsia" w:ascii="宋体" w:hAnsi="宋体" w:eastAsia="宋体" w:cs="宋体"/>
          <w:b/>
          <w:color w:val="auto"/>
          <w:sz w:val="24"/>
          <w:szCs w:val="24"/>
          <w:highlight w:val="none"/>
        </w:rPr>
        <w:t xml:space="preserve">或者书面说明、证明</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pacing w:val="-2"/>
          <w:sz w:val="24"/>
          <w:szCs w:val="24"/>
          <w:highlight w:val="none"/>
        </w:rPr>
        <w:t xml:space="preserve">材料不能证明其报价合理性的，将作为无效投标</w:t>
      </w:r>
      <w:r>
        <w:rPr>
          <w:rFonts w:hint="eastAsia" w:ascii="宋体" w:hAnsi="宋体" w:eastAsia="宋体" w:cs="宋体"/>
          <w:b/>
          <w:color w:val="auto"/>
          <w:spacing w:val="-3"/>
          <w:sz w:val="24"/>
          <w:szCs w:val="24"/>
          <w:highlight w:val="none"/>
        </w:rPr>
        <w:t xml:space="preserve">处理。</w:t>
      </w:r>
      <w:r/>
    </w:p>
    <w:p>
      <w:pPr>
        <w:spacing w:line="364" w:lineRule="auto"/>
        <w:rPr>
          <w:rFonts w:hint="eastAsia" w:ascii="宋体" w:hAnsi="宋体" w:eastAsia="宋体" w:cs="宋体"/>
          <w:color w:val="auto"/>
          <w:sz w:val="24"/>
          <w:szCs w:val="24"/>
          <w:highlight w:val="none"/>
        </w:rPr>
        <w:sectPr>
          <w:footerReference w:type="default" r:id="rId12"/>
          <w:footnotePr/>
          <w:endnotePr/>
          <w:type w:val="nextPage"/>
          <w:pgSz w:w="11906" w:h="16839" w:orient="portrait"/>
          <w:pgMar w:top="1423" w:right="1073" w:bottom="1058" w:left="1075" w:header="0" w:footer="884" w:gutter="0"/>
          <w:lnNumType w:countBy="0" w:distance="360"/>
          <w:cols w:num="1" w:sep="0" w:space="720" w:equalWidth="1"/>
          <w:docGrid w:linePitch="360"/>
        </w:sectPr>
      </w:pPr>
      <w:r>
        <w:rPr>
          <w:rFonts w:hint="eastAsia" w:ascii="宋体" w:hAnsi="宋体" w:eastAsia="宋体" w:cs="宋体"/>
          <w:color w:val="auto"/>
          <w:sz w:val="24"/>
          <w:szCs w:val="24"/>
          <w:highlight w:val="none"/>
        </w:rPr>
      </w:r>
      <w:bookmarkEnd w:id="280"/>
      <w:r/>
      <w:bookmarkEnd w:id="281"/>
      <w:r/>
      <w:r/>
    </w:p>
    <w:p>
      <w:pPr>
        <w:pStyle w:val="738"/>
        <w:numPr>
          <w:ilvl w:val="0"/>
          <w:numId w:val="2"/>
        </w:numPr>
        <w:ind w:firstLine="426"/>
        <w:spacing w:before="0"/>
        <w:rPr>
          <w:rFonts w:ascii="Arial" w:hAnsi="Arial" w:cs="Arial"/>
          <w:bCs w:val="0"/>
          <w:color w:val="auto"/>
          <w:sz w:val="24"/>
          <w:szCs w:val="24"/>
          <w:highlight w:val="none"/>
        </w:rPr>
      </w:pPr>
      <w:r/>
      <w:bookmarkStart w:id="282" w:name="_Toc104560901"/>
      <w:r/>
      <w:bookmarkStart w:id="283" w:name="_Toc107246281"/>
      <w:r/>
      <w:bookmarkStart w:id="284" w:name="_Toc103848586"/>
      <w:r/>
      <w:bookmarkStart w:id="285" w:name="_Toc102117319"/>
      <w:r>
        <w:rPr>
          <w:rStyle w:val="982"/>
          <w:rFonts w:ascii="Arial" w:hAnsi="Arial" w:cs="Arial"/>
          <w:color w:val="auto"/>
          <w:highlight w:val="none"/>
        </w:rPr>
        <w:t xml:space="preserve">分项报价表</w:t>
      </w:r>
      <w:r/>
    </w:p>
    <w:p>
      <w:pPr>
        <w:ind w:left="-120" w:firstLine="210"/>
        <w:spacing w:line="360" w:lineRule="auto"/>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u w:val="single"/>
        </w:rPr>
        <w:t xml:space="preserve">                  </w:t>
      </w:r>
      <w:r/>
    </w:p>
    <w:p>
      <w:pPr>
        <w:ind w:left="-120" w:firstLine="210"/>
        <w:spacing w:line="360" w:lineRule="auto"/>
        <w:rPr>
          <w:rFonts w:ascii="Arial" w:hAnsi="Arial" w:cs="Arial"/>
          <w:color w:val="auto"/>
          <w:szCs w:val="21"/>
          <w:highlight w:val="none"/>
          <w:u w:val="single"/>
        </w:rPr>
      </w:pPr>
      <w:r>
        <w:rPr>
          <w:rFonts w:ascii="Arial" w:hAnsi="Arial" w:cs="Arial"/>
          <w:color w:val="auto"/>
          <w:szCs w:val="21"/>
          <w:highlight w:val="none"/>
        </w:rPr>
        <w:t xml:space="preserve">项目编号：</w:t>
      </w:r>
      <w:r>
        <w:rPr>
          <w:rFonts w:ascii="Arial" w:hAnsi="Arial" w:cs="Arial"/>
          <w:color w:val="auto"/>
          <w:szCs w:val="21"/>
          <w:highlight w:val="none"/>
          <w:u w:val="single"/>
        </w:rPr>
        <w:t xml:space="preserve">                  </w:t>
      </w:r>
      <w:r/>
    </w:p>
    <w:p>
      <w:pPr>
        <w:rPr>
          <w:rFonts w:ascii="Arial" w:hAnsi="Arial" w:cs="Arial"/>
          <w:color w:val="auto"/>
          <w:highlight w:val="none"/>
        </w:rPr>
      </w:pPr>
      <w:r>
        <w:rPr>
          <w:rFonts w:ascii="Arial" w:hAnsi="Arial" w:cs="Arial"/>
          <w:color w:val="auto"/>
          <w:highlight w:val="none"/>
        </w:rPr>
      </w:r>
      <w:r/>
    </w:p>
    <w:tbl>
      <w:tblPr>
        <w:tblStyle w:val="707"/>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b/>
                <w:color w:val="auto"/>
                <w:szCs w:val="21"/>
                <w:highlight w:val="none"/>
              </w:rPr>
            </w:pPr>
            <w:r>
              <w:rPr>
                <w:rFonts w:ascii="Arial" w:hAnsi="Arial" w:cs="Arial"/>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b/>
                <w:color w:val="auto"/>
                <w:szCs w:val="21"/>
                <w:highlight w:val="none"/>
              </w:rPr>
            </w:pPr>
            <w:r>
              <w:rPr>
                <w:rFonts w:ascii="Arial" w:hAnsi="Arial" w:cs="Arial"/>
                <w:b/>
                <w:color w:val="auto"/>
                <w:szCs w:val="21"/>
                <w:highlight w:val="none"/>
              </w:rPr>
              <w:t xml:space="preserve">备注</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both"/>
              <w:widowControl/>
              <w:rPr>
                <w:rFonts w:ascii="Arial" w:hAnsi="Arial" w:cs="Arial"/>
                <w:color w:val="auto"/>
                <w:szCs w:val="21"/>
                <w:highlight w:val="none"/>
              </w:rPr>
            </w:pPr>
            <w:r>
              <w:rPr>
                <w:rFonts w:hint="eastAsia" w:ascii="Arial" w:hAnsi="Arial" w:cs="Arial"/>
                <w:color w:val="auto"/>
                <w:szCs w:val="21"/>
                <w:highlight w:val="none"/>
              </w:rPr>
              <w:t xml:space="preserve">本次5个院外单位千兆光纤或数字链路的安装、接入费用</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Arial" w:hAnsi="Arial" w:cs="Arial"/>
                <w:color w:val="auto"/>
                <w:szCs w:val="21"/>
                <w:highlight w:val="none"/>
              </w:rPr>
            </w:pPr>
            <w:r>
              <w:rPr>
                <w:rFonts w:ascii="Arial" w:hAnsi="Arial" w:cs="Arial"/>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Arial" w:hAnsi="Arial" w:cs="Arial"/>
                <w:color w:val="auto"/>
                <w:szCs w:val="21"/>
                <w:highlight w:val="none"/>
              </w:rPr>
            </w:pPr>
            <w:r>
              <w:rPr>
                <w:rFonts w:ascii="Arial" w:hAnsi="Arial" w:cs="Arial"/>
                <w:color w:val="auto"/>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t xml:space="preserve">单价：大写：人民币</w:t>
            </w:r>
            <w:r>
              <w:rPr>
                <w:rFonts w:ascii="Arial" w:hAnsi="Arial" w:cs="Arial"/>
                <w:color w:val="auto"/>
                <w:szCs w:val="21"/>
                <w:highlight w:val="none"/>
                <w:u w:val="single"/>
              </w:rPr>
              <w:t xml:space="preserve">              </w:t>
            </w:r>
            <w:r>
              <w:rPr>
                <w:rFonts w:ascii="Arial" w:hAnsi="Arial" w:cs="Arial"/>
                <w:color w:val="auto"/>
                <w:szCs w:val="21"/>
                <w:highlight w:val="none"/>
              </w:rPr>
              <w:t xml:space="preserve">  小写：人民币</w:t>
            </w:r>
            <w:r>
              <w:rPr>
                <w:rFonts w:ascii="Arial" w:hAnsi="Arial" w:cs="Arial"/>
                <w:color w:val="auto"/>
                <w:szCs w:val="21"/>
                <w:highlight w:val="none"/>
                <w:u w:val="single"/>
              </w:rPr>
              <w:t xml:space="preserve">         </w:t>
            </w:r>
            <w:r>
              <w:rPr>
                <w:rFonts w:ascii="Arial" w:hAnsi="Arial" w:cs="Arial"/>
                <w:color w:val="auto"/>
                <w:szCs w:val="21"/>
                <w:highlight w:val="none"/>
              </w:rPr>
              <w:t xml:space="preserve">元(小数点保留两位)</w:t>
            </w:r>
            <w:r/>
          </w:p>
          <w:p>
            <w:pPr>
              <w:widowControl/>
              <w:rPr>
                <w:rFonts w:ascii="Arial" w:hAnsi="Arial" w:cs="Arial"/>
                <w:color w:val="auto"/>
                <w:szCs w:val="21"/>
                <w:highlight w:val="none"/>
              </w:rPr>
            </w:pPr>
            <w:r>
              <w:rPr>
                <w:rFonts w:ascii="Arial" w:hAnsi="Arial" w:cs="Arial"/>
                <w:color w:val="auto"/>
                <w:szCs w:val="21"/>
                <w:highlight w:val="none"/>
              </w:rPr>
              <w:t xml:space="preserve">总价：大写：人民币</w:t>
            </w:r>
            <w:r>
              <w:rPr>
                <w:rFonts w:ascii="Arial" w:hAnsi="Arial" w:cs="Arial"/>
                <w:color w:val="auto"/>
                <w:szCs w:val="21"/>
                <w:highlight w:val="none"/>
                <w:u w:val="single"/>
              </w:rPr>
              <w:t xml:space="preserve">              </w:t>
            </w:r>
            <w:r>
              <w:rPr>
                <w:rFonts w:ascii="Arial" w:hAnsi="Arial" w:cs="Arial"/>
                <w:color w:val="auto"/>
                <w:szCs w:val="21"/>
                <w:highlight w:val="none"/>
              </w:rPr>
              <w:t xml:space="preserve">  小写：人民币</w:t>
            </w:r>
            <w:r>
              <w:rPr>
                <w:rFonts w:ascii="Arial" w:hAnsi="Arial" w:cs="Arial"/>
                <w:color w:val="auto"/>
                <w:szCs w:val="21"/>
                <w:highlight w:val="none"/>
                <w:u w:val="single"/>
              </w:rPr>
              <w:t xml:space="preserve">         </w:t>
            </w:r>
            <w:r>
              <w:rPr>
                <w:rFonts w:ascii="Arial" w:hAnsi="Arial" w:cs="Arial"/>
                <w:color w:val="auto"/>
                <w:szCs w:val="21"/>
                <w:highlight w:val="none"/>
              </w:rPr>
              <w:t xml:space="preserve">元(小数点保留两位)</w:t>
            </w:r>
            <w:r/>
          </w:p>
        </w:tc>
      </w:tr>
    </w:tbl>
    <w:p>
      <w:pPr>
        <w:tabs>
          <w:tab w:val="left" w:pos="6045" w:leader="none"/>
        </w:tabs>
        <w:rPr>
          <w:rFonts w:ascii="Arial" w:hAnsi="Arial" w:cs="Arial"/>
          <w:b/>
          <w:bCs/>
          <w:color w:val="auto"/>
          <w:sz w:val="22"/>
          <w:szCs w:val="22"/>
          <w:highlight w:val="none"/>
        </w:rPr>
      </w:pPr>
      <w:r>
        <w:rPr>
          <w:rFonts w:ascii="Arial" w:hAnsi="Arial" w:cs="Arial"/>
          <w:b/>
          <w:bCs/>
          <w:color w:val="auto"/>
          <w:sz w:val="22"/>
          <w:szCs w:val="22"/>
          <w:highlight w:val="none"/>
        </w:rPr>
      </w:r>
      <w:r/>
    </w:p>
    <w:p>
      <w:pPr>
        <w:tabs>
          <w:tab w:val="left" w:pos="6045" w:leader="none"/>
        </w:tabs>
        <w:rPr>
          <w:rFonts w:ascii="Arial" w:hAnsi="Arial" w:cs="Arial"/>
          <w:b/>
          <w:bCs/>
          <w:color w:val="auto"/>
          <w:sz w:val="22"/>
          <w:szCs w:val="22"/>
          <w:highlight w:val="none"/>
        </w:rPr>
      </w:pPr>
      <w:r>
        <w:rPr>
          <w:rFonts w:ascii="Arial" w:hAnsi="Arial" w:cs="Arial"/>
          <w:b/>
          <w:bCs/>
          <w:color w:val="auto"/>
          <w:sz w:val="22"/>
          <w:szCs w:val="22"/>
          <w:highlight w:val="none"/>
        </w:rPr>
      </w:r>
      <w:r/>
    </w:p>
    <w:p>
      <w:pPr>
        <w:ind w:left="605"/>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投标人名称</w:t>
      </w:r>
      <w:r>
        <w:rPr>
          <w:rFonts w:hint="eastAsia" w:ascii="宋体" w:hAnsi="宋体" w:eastAsia="宋体" w:cs="宋体"/>
          <w:color w:val="auto"/>
          <w:spacing w:val="-13"/>
          <w:sz w:val="24"/>
          <w:szCs w:val="24"/>
          <w:highlight w:val="none"/>
        </w:rPr>
        <w:t xml:space="preserve">：（</w:t>
      </w:r>
      <w:r>
        <w:rPr>
          <w:rFonts w:hint="eastAsia" w:ascii="宋体" w:hAnsi="宋体" w:eastAsia="宋体" w:cs="宋体"/>
          <w:color w:val="auto"/>
          <w:spacing w:val="1"/>
          <w:sz w:val="24"/>
          <w:szCs w:val="24"/>
          <w:highlight w:val="none"/>
        </w:rPr>
        <w:t xml:space="preserve">加盖电子公章）</w:t>
      </w:r>
      <w:r/>
    </w:p>
    <w:p>
      <w:pPr>
        <w:pStyle w:val="715"/>
        <w:spacing w:line="283" w:lineRule="auto"/>
        <w:rPr>
          <w:rFonts w:hint="default"/>
          <w:color w:val="auto"/>
          <w:sz w:val="21"/>
          <w:szCs w:val="21"/>
          <w:highlight w:val="none"/>
        </w:rPr>
      </w:pPr>
      <w:r>
        <w:rPr>
          <w:rFonts w:hint="default"/>
          <w:color w:val="auto"/>
          <w:sz w:val="21"/>
          <w:szCs w:val="21"/>
          <w:highlight w:val="none"/>
        </w:rPr>
      </w:r>
      <w:r/>
    </w:p>
    <w:p>
      <w:pPr>
        <w:pStyle w:val="715"/>
        <w:spacing w:line="284" w:lineRule="auto"/>
        <w:rPr>
          <w:rFonts w:hint="default"/>
          <w:color w:val="auto"/>
          <w:sz w:val="21"/>
          <w:szCs w:val="21"/>
          <w:highlight w:val="none"/>
        </w:rPr>
      </w:pPr>
      <w:r>
        <w:rPr>
          <w:rFonts w:hint="default"/>
          <w:color w:val="auto"/>
          <w:sz w:val="21"/>
          <w:szCs w:val="21"/>
          <w:highlight w:val="none"/>
        </w:rPr>
      </w:r>
      <w:r/>
    </w:p>
    <w:p>
      <w:pPr>
        <w:ind w:left="605"/>
        <w:spacing w:before="78"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备注：</w:t>
      </w:r>
      <w:r/>
    </w:p>
    <w:p>
      <w:pPr>
        <w:numPr>
          <w:ilvl w:val="0"/>
          <w:numId w:val="0"/>
        </w:numPr>
        <w:ind w:firstLine="708"/>
        <w:jc w:val="both"/>
        <w:spacing w:before="182" w:line="349" w:lineRule="auto"/>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“投标总报价</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2"/>
          <w:sz w:val="24"/>
          <w:szCs w:val="24"/>
          <w:highlight w:val="none"/>
        </w:rPr>
        <w:t xml:space="preserve">”应包括为完成整个项目所产生的所有费用，招标文件另有规定的除外。</w:t>
      </w:r>
      <w:r/>
    </w:p>
    <w:p>
      <w:pPr>
        <w:numPr>
          <w:ilvl w:val="0"/>
          <w:numId w:val="0"/>
        </w:numPr>
        <w:ind w:left="619"/>
        <w:jc w:val="both"/>
        <w:spacing w:before="182" w:line="349"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2.《投标分项报价表》中“投标总价</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8"/>
          <w:sz w:val="24"/>
          <w:szCs w:val="24"/>
          <w:highlight w:val="none"/>
        </w:rPr>
        <w:t xml:space="preserve">”应当与《开标一览表》中“投标总报价</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9"/>
          <w:sz w:val="24"/>
          <w:szCs w:val="24"/>
          <w:highlight w:val="none"/>
        </w:rPr>
        <w:t xml:space="preserve">一致。</w:t>
      </w:r>
      <w:r>
        <w:rPr>
          <w:rFonts w:hint="eastAsia" w:ascii="宋体" w:hAnsi="宋体" w:eastAsia="宋体" w:cs="宋体"/>
          <w:color w:val="auto"/>
          <w:sz w:val="24"/>
          <w:szCs w:val="24"/>
          <w:highlight w:val="none"/>
        </w:rPr>
        <w:t xml:space="preserve"> </w:t>
      </w:r>
      <w:r/>
    </w:p>
    <w:p>
      <w:pPr>
        <w:numPr>
          <w:ilvl w:val="0"/>
          <w:numId w:val="0"/>
        </w:numPr>
        <w:ind w:left="619"/>
        <w:jc w:val="both"/>
        <w:spacing w:before="182" w:line="34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3.行数不够，可自行添加。</w:t>
      </w:r>
      <w:r/>
    </w:p>
    <w:p>
      <w:pPr>
        <w:ind w:firstLine="422"/>
        <w:jc w:val="left"/>
        <w:spacing w:line="360" w:lineRule="auto"/>
        <w:rPr>
          <w:rFonts w:ascii="Arial" w:hAnsi="Arial" w:cs="Arial"/>
          <w:color w:val="auto"/>
          <w:sz w:val="24"/>
          <w:highlight w:val="none"/>
        </w:rPr>
      </w:pPr>
      <w:r>
        <w:rPr>
          <w:rFonts w:ascii="Arial" w:hAnsi="Arial" w:cs="Arial"/>
          <w:color w:val="auto"/>
          <w:highlight w:val="none"/>
        </w:rPr>
        <w:br w:type="page" w:clear="all"/>
      </w:r>
      <w:r/>
    </w:p>
    <w:p>
      <w:pPr>
        <w:rPr>
          <w:rFonts w:ascii="Arial" w:hAnsi="Arial" w:cs="Arial"/>
          <w:color w:val="auto"/>
          <w:sz w:val="24"/>
          <w:highlight w:val="none"/>
        </w:rPr>
      </w:pPr>
      <w:r>
        <w:rPr>
          <w:rFonts w:ascii="Arial" w:hAnsi="Arial" w:cs="Arial"/>
          <w:color w:val="auto"/>
          <w:sz w:val="24"/>
          <w:highlight w:val="none"/>
        </w:rPr>
      </w:r>
      <w:r/>
    </w:p>
    <w:p>
      <w:pPr>
        <w:pStyle w:val="738"/>
        <w:ind w:firstLine="426"/>
        <w:spacing w:before="0"/>
        <w:rPr>
          <w:rFonts w:ascii="Arial" w:hAnsi="Arial" w:cs="Arial"/>
          <w:color w:val="auto"/>
          <w:sz w:val="24"/>
          <w:szCs w:val="24"/>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6</w:t>
      </w:r>
      <w:r>
        <w:rPr>
          <w:rFonts w:ascii="Arial" w:hAnsi="Arial" w:cs="Arial"/>
          <w:bCs w:val="0"/>
          <w:color w:val="auto"/>
          <w:sz w:val="24"/>
          <w:szCs w:val="24"/>
          <w:highlight w:val="none"/>
        </w:rPr>
        <w:t xml:space="preserve">）商务条款偏离表</w:t>
      </w:r>
      <w:bookmarkEnd w:id="282"/>
      <w:r/>
      <w:bookmarkEnd w:id="283"/>
      <w:r/>
      <w:bookmarkEnd w:id="284"/>
      <w:r/>
      <w:r/>
    </w:p>
    <w:p>
      <w:pPr>
        <w:pStyle w:val="972"/>
        <w:ind w:firstLine="420"/>
        <w:rPr>
          <w:rFonts w:hint="eastAsia" w:ascii="Arial" w:hAnsi="Arial" w:eastAsia="宋体" w:cs="Arial"/>
          <w:color w:val="auto"/>
          <w:sz w:val="21"/>
          <w:szCs w:val="21"/>
          <w:highlight w:val="none"/>
          <w:lang w:eastAsia="zh-CN"/>
        </w:rPr>
      </w:pPr>
      <w:r>
        <w:rPr>
          <w:rFonts w:ascii="Arial" w:hAnsi="Arial" w:cs="Arial"/>
          <w:color w:val="auto"/>
          <w:sz w:val="21"/>
          <w:szCs w:val="21"/>
          <w:highlight w:val="none"/>
        </w:rPr>
        <w:t xml:space="preserve">项目名称：</w:t>
      </w:r>
      <w:r>
        <w:rPr>
          <w:rFonts w:hint="eastAsia" w:ascii="Arial" w:hAnsi="Arial" w:cs="Arial"/>
          <w:color w:val="auto"/>
          <w:sz w:val="21"/>
          <w:szCs w:val="21"/>
          <w:highlight w:val="none"/>
          <w:lang w:eastAsia="zh-CN"/>
        </w:rPr>
        <w:t xml:space="preserve">南京市鼓楼区电子政务外网升级改造项目</w:t>
      </w:r>
      <w:r/>
    </w:p>
    <w:p>
      <w:pPr>
        <w:pStyle w:val="972"/>
        <w:ind w:firstLine="420"/>
        <w:rPr>
          <w:rFonts w:hint="eastAsia" w:ascii="Arial" w:hAnsi="Arial" w:eastAsia="宋体" w:cs="Arial"/>
          <w:color w:val="auto"/>
          <w:sz w:val="21"/>
          <w:szCs w:val="21"/>
          <w:highlight w:val="none"/>
          <w:u w:val="single"/>
          <w:lang w:eastAsia="zh-CN"/>
        </w:rPr>
      </w:pPr>
      <w:r>
        <w:rPr>
          <w:rFonts w:ascii="Arial" w:hAnsi="Arial" w:cs="Arial"/>
          <w:color w:val="auto"/>
          <w:sz w:val="21"/>
          <w:szCs w:val="21"/>
          <w:highlight w:val="none"/>
        </w:rPr>
        <w:t xml:space="preserve">项目编号：</w:t>
      </w:r>
      <w:r>
        <w:rPr>
          <w:rFonts w:hint="eastAsia" w:ascii="Arial" w:hAnsi="Arial" w:cs="Arial"/>
          <w:color w:val="auto"/>
          <w:sz w:val="21"/>
          <w:szCs w:val="21"/>
          <w:highlight w:val="none"/>
          <w:lang w:eastAsia="zh-CN"/>
        </w:rPr>
        <w:t xml:space="preserve"> </w:t>
      </w:r>
      <w:r/>
    </w:p>
    <w:tbl>
      <w:tblPr>
        <w:tblStyle w:val="707"/>
        <w:tblW w:w="8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630"/>
        <w:gridCol w:w="1176"/>
      </w:tblGrid>
      <w:tr>
        <w:trPr>
          <w:jc w:val="center"/>
          <w:trHeight w:val="635"/>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序号</w:t>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招标文件条目号</w:t>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招标文件的商务条款</w:t>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是否偏离</w:t>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投标文件响应页码</w:t>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jc w:val="center"/>
          <w:trHeight w:val="570"/>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81"/>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90"/>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714"/>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82"/>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707"/>
        </w:trPr>
        <w:tc>
          <w:tcPr>
            <w:tcW w:w="653"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84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2268"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34" w:type="dxa"/>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630"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17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bl>
    <w:p>
      <w:pPr>
        <w:pStyle w:val="736"/>
        <w:ind w:firstLine="373"/>
        <w:spacing w:line="360" w:lineRule="exact"/>
        <w:rPr>
          <w:rFonts w:ascii="Arial" w:hAnsi="Arial" w:cs="Arial"/>
          <w:b/>
          <w:bCs/>
          <w:color w:val="auto"/>
          <w:highlight w:val="none"/>
        </w:rPr>
      </w:pPr>
      <w:r>
        <w:rPr>
          <w:rFonts w:ascii="Arial" w:hAnsi="Arial" w:cs="Arial"/>
          <w:b/>
          <w:bCs/>
          <w:color w:val="auto"/>
          <w:highlight w:val="none"/>
        </w:rPr>
      </w:r>
      <w:r/>
    </w:p>
    <w:p>
      <w:pPr>
        <w:pStyle w:val="736"/>
        <w:spacing w:line="360" w:lineRule="exact"/>
        <w:rPr>
          <w:rFonts w:ascii="Arial" w:hAnsi="Arial" w:cs="Arial"/>
          <w:b/>
          <w:bCs/>
          <w:color w:val="auto"/>
          <w:highlight w:val="none"/>
        </w:rPr>
      </w:pPr>
      <w:r>
        <w:rPr>
          <w:rFonts w:hint="eastAsia" w:ascii="Arial" w:hAnsi="Arial" w:cs="Arial"/>
          <w:b w:val="0"/>
          <w:bCs w:val="0"/>
          <w:color w:val="auto"/>
          <w:highlight w:val="none"/>
        </w:rPr>
        <w:t xml:space="preserve">投标人全称（投标人CA公章）：</w:t>
      </w:r>
      <w:r>
        <w:rPr>
          <w:rFonts w:hint="eastAsia" w:ascii="Arial" w:hAnsi="Arial" w:cs="Arial"/>
          <w:b w:val="0"/>
          <w:bCs w:val="0"/>
          <w:color w:val="auto"/>
          <w:highlight w:val="none"/>
          <w:u w:val="single"/>
          <w:lang w:val="en-US" w:eastAsia="zh-CN"/>
        </w:rPr>
        <w:t xml:space="preserve">                 </w:t>
      </w:r>
      <w:r>
        <w:rPr>
          <w:rFonts w:hint="eastAsia" w:ascii="Arial" w:hAnsi="Arial" w:cs="Arial"/>
          <w:b w:val="0"/>
          <w:bCs w:val="0"/>
          <w:color w:val="auto"/>
          <w:highlight w:val="none"/>
          <w:u w:val="single"/>
        </w:rPr>
        <w:t xml:space="preserve">   </w:t>
      </w:r>
      <w:r>
        <w:rPr>
          <w:rFonts w:hint="eastAsia" w:ascii="Arial" w:hAnsi="Arial" w:cs="Arial"/>
          <w:b w:val="0"/>
          <w:bCs w:val="0"/>
          <w:color w:val="auto"/>
          <w:highlight w:val="none"/>
        </w:rPr>
        <w:t xml:space="preserve">         </w:t>
      </w:r>
      <w:r>
        <w:rPr>
          <w:rFonts w:hint="eastAsia" w:ascii="Arial" w:hAnsi="Arial" w:cs="Arial"/>
          <w:b/>
          <w:bCs/>
          <w:color w:val="auto"/>
          <w:highlight w:val="none"/>
        </w:rPr>
        <w:t xml:space="preserve">         </w:t>
      </w:r>
      <w:r/>
    </w:p>
    <w:p>
      <w:pPr>
        <w:pStyle w:val="736"/>
        <w:ind w:firstLine="373"/>
        <w:spacing w:line="360" w:lineRule="exact"/>
        <w:rPr>
          <w:rFonts w:ascii="Arial" w:hAnsi="Arial" w:cs="Arial"/>
          <w:b/>
          <w:bCs/>
          <w:color w:val="auto"/>
          <w:highlight w:val="none"/>
        </w:rPr>
      </w:pPr>
      <w:r>
        <w:rPr>
          <w:rFonts w:ascii="Arial" w:hAnsi="Arial" w:cs="Arial"/>
          <w:b/>
          <w:bCs/>
          <w:color w:val="auto"/>
          <w:highlight w:val="none"/>
        </w:rPr>
      </w:r>
      <w:r/>
    </w:p>
    <w:p>
      <w:pPr>
        <w:pStyle w:val="736"/>
        <w:ind w:firstLine="373"/>
        <w:spacing w:line="360" w:lineRule="exact"/>
        <w:rPr>
          <w:rFonts w:ascii="Arial" w:hAnsi="Arial" w:cs="Arial"/>
          <w:b/>
          <w:bCs/>
          <w:color w:val="auto"/>
          <w:highlight w:val="none"/>
        </w:rPr>
      </w:pPr>
      <w:r>
        <w:rPr>
          <w:rFonts w:ascii="Arial" w:hAnsi="Arial" w:cs="Arial"/>
          <w:b/>
          <w:bCs/>
          <w:color w:val="auto"/>
          <w:highlight w:val="none"/>
        </w:rPr>
        <w:t xml:space="preserve">注：</w:t>
      </w:r>
      <w:r/>
    </w:p>
    <w:p>
      <w:pPr>
        <w:pStyle w:val="736"/>
        <w:ind w:firstLine="373"/>
        <w:spacing w:line="360" w:lineRule="exact"/>
        <w:rPr>
          <w:rFonts w:ascii="Arial" w:hAnsi="Arial" w:cs="Arial"/>
          <w:b/>
          <w:bCs/>
          <w:color w:val="auto"/>
          <w:highlight w:val="none"/>
        </w:rPr>
      </w:pPr>
      <w:r>
        <w:rPr>
          <w:rFonts w:ascii="Arial" w:hAnsi="Arial" w:cs="Arial"/>
          <w:b/>
          <w:bCs/>
          <w:color w:val="auto"/>
          <w:highlight w:val="none"/>
        </w:rPr>
        <w:t xml:space="preserve">1. 投标人须根据招标文件商务条款要求填写此表，作为投标文件的组成部分。</w:t>
      </w:r>
      <w:r/>
    </w:p>
    <w:p>
      <w:pPr>
        <w:pStyle w:val="736"/>
        <w:ind w:firstLine="373"/>
        <w:spacing w:line="360" w:lineRule="exact"/>
        <w:rPr>
          <w:rFonts w:ascii="Arial" w:hAnsi="Arial" w:cs="Arial"/>
          <w:b/>
          <w:bCs/>
          <w:color w:val="auto"/>
          <w:highlight w:val="none"/>
        </w:rPr>
      </w:pPr>
      <w:r>
        <w:rPr>
          <w:rFonts w:ascii="Arial" w:hAnsi="Arial" w:cs="Arial"/>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36"/>
        <w:ind w:firstLine="373"/>
        <w:spacing w:line="360" w:lineRule="exact"/>
        <w:rPr>
          <w:rFonts w:ascii="Arial" w:hAnsi="Arial" w:cs="Arial"/>
          <w:b/>
          <w:bCs/>
          <w:color w:val="auto"/>
          <w:highlight w:val="none"/>
        </w:rPr>
      </w:pPr>
      <w:r>
        <w:rPr>
          <w:rFonts w:ascii="Arial" w:hAnsi="Arial" w:cs="Arial"/>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ascii="Arial" w:hAnsi="Arial" w:cs="Arial"/>
          <w:color w:val="auto"/>
          <w:sz w:val="22"/>
          <w:szCs w:val="22"/>
          <w:highlight w:val="none"/>
        </w:rPr>
      </w:pPr>
      <w:r/>
      <w:bookmarkStart w:id="286" w:name="_Toc103848587"/>
      <w:r/>
      <w:bookmarkStart w:id="287" w:name="_Toc104560902"/>
      <w:r/>
      <w:r/>
    </w:p>
    <w:p>
      <w:pPr>
        <w:ind w:firstLine="372"/>
        <w:rPr>
          <w:rFonts w:ascii="Arial" w:hAnsi="Arial" w:cs="Arial"/>
          <w:color w:val="auto"/>
          <w:highlight w:val="none"/>
        </w:rPr>
      </w:pPr>
      <w:r>
        <w:rPr>
          <w:rFonts w:ascii="Arial" w:hAnsi="Arial" w:cs="Arial"/>
          <w:color w:val="auto"/>
          <w:highlight w:val="none"/>
        </w:rPr>
        <w:br w:type="page" w:clear="all"/>
      </w:r>
      <w:r/>
    </w:p>
    <w:p>
      <w:pPr>
        <w:pStyle w:val="738"/>
        <w:spacing w:line="240" w:lineRule="atLeast"/>
        <w:rPr>
          <w:rFonts w:ascii="Arial" w:hAnsi="Arial" w:cs="Arial"/>
          <w:bCs w:val="0"/>
          <w:color w:val="auto"/>
          <w:sz w:val="24"/>
          <w:szCs w:val="24"/>
          <w:highlight w:val="none"/>
        </w:rPr>
      </w:pPr>
      <w:r/>
      <w:bookmarkStart w:id="288" w:name="_Toc107246282"/>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）投标人具备投标资格的证明文件</w:t>
      </w:r>
      <w:bookmarkEnd w:id="286"/>
      <w:r/>
      <w:bookmarkEnd w:id="287"/>
      <w:r/>
      <w:bookmarkEnd w:id="288"/>
      <w:r/>
      <w:r/>
    </w:p>
    <w:p>
      <w:pPr>
        <w:pStyle w:val="738"/>
        <w:ind w:firstLine="426"/>
        <w:spacing w:line="240" w:lineRule="atLeast"/>
        <w:rPr>
          <w:rFonts w:ascii="Arial" w:hAnsi="Arial" w:cs="Arial"/>
          <w:bCs w:val="0"/>
          <w:color w:val="auto"/>
          <w:sz w:val="24"/>
          <w:szCs w:val="24"/>
          <w:highlight w:val="none"/>
        </w:rPr>
      </w:pPr>
      <w:r/>
      <w:bookmarkStart w:id="289" w:name="_Toc103848588"/>
      <w:r/>
      <w:bookmarkStart w:id="290" w:name="_Toc107246283"/>
      <w:r/>
      <w:bookmarkStart w:id="291" w:name="_Toc104560903"/>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-1-1）营业执照复印件</w:t>
      </w:r>
      <w:bookmarkEnd w:id="285"/>
      <w:r>
        <w:rPr>
          <w:rFonts w:ascii="Arial" w:hAnsi="Arial" w:cs="Arial"/>
          <w:bCs w:val="0"/>
          <w:color w:val="auto"/>
          <w:sz w:val="24"/>
          <w:szCs w:val="24"/>
          <w:highlight w:val="none"/>
        </w:rPr>
        <w:t xml:space="preserve">或自然人的身份证明复印件</w:t>
      </w:r>
      <w:bookmarkEnd w:id="289"/>
      <w:r/>
      <w:bookmarkEnd w:id="290"/>
      <w:r/>
      <w:bookmarkEnd w:id="291"/>
      <w:r/>
      <w:r/>
    </w:p>
    <w:p>
      <w:pPr>
        <w:ind w:firstLine="373"/>
        <w:spacing w:line="360" w:lineRule="auto"/>
        <w:rPr>
          <w:rFonts w:ascii="Arial" w:hAnsi="Arial" w:cs="Arial"/>
          <w:b/>
          <w:bCs/>
          <w:color w:val="auto"/>
          <w:highlight w:val="none"/>
        </w:rPr>
      </w:pPr>
      <w:r/>
      <w:bookmarkStart w:id="292" w:name="_Hlk33717720"/>
      <w:r/>
      <w:r/>
    </w:p>
    <w:p>
      <w:pPr>
        <w:ind w:firstLine="373"/>
        <w:spacing w:line="360" w:lineRule="auto"/>
        <w:rPr>
          <w:rFonts w:ascii="Arial" w:hAnsi="Arial" w:cs="Arial"/>
          <w:b/>
          <w:bCs/>
          <w:color w:val="auto"/>
          <w:highlight w:val="none"/>
        </w:rPr>
      </w:pPr>
      <w:r>
        <w:rPr>
          <w:rFonts w:ascii="Arial" w:hAnsi="Arial" w:cs="Arial"/>
          <w:b/>
          <w:bCs/>
          <w:color w:val="auto"/>
          <w:highlight w:val="none"/>
        </w:rPr>
        <w:t xml:space="preserve">注：投标人提供营业执照副本（或具有同等法律效力的证照）复印件。复印件应能清晰显示投标人名称。</w:t>
      </w:r>
      <w:bookmarkEnd w:id="292"/>
      <w:r/>
      <w:r/>
    </w:p>
    <w:p>
      <w:pPr>
        <w:ind w:firstLine="372"/>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bookmarkStart w:id="293" w:name="_Toc103848589"/>
      <w:r/>
      <w:bookmarkStart w:id="294" w:name="_Toc102117320"/>
      <w:r>
        <w:rPr>
          <w:rFonts w:ascii="Arial" w:hAnsi="Arial" w:cs="Arial"/>
          <w:color w:val="auto"/>
          <w:highlight w:val="none"/>
        </w:rPr>
        <w:br w:type="page" w:clear="all"/>
      </w:r>
      <w:bookmarkStart w:id="295" w:name="_Toc104560904"/>
      <w:r/>
      <w:bookmarkStart w:id="296" w:name="_Toc107246284"/>
      <w:r/>
      <w:r/>
    </w:p>
    <w:p>
      <w:pPr>
        <w:pStyle w:val="738"/>
        <w:ind w:firstLine="426"/>
        <w:spacing w:line="240" w:lineRule="atLeast"/>
        <w:rPr>
          <w:rFonts w:ascii="Arial" w:hAnsi="Arial" w:cs="Arial"/>
          <w:b w:val="0"/>
          <w:color w:val="auto"/>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-1-2）工商变更登记文件（如需）</w:t>
      </w:r>
      <w:bookmarkEnd w:id="293"/>
      <w:r/>
      <w:bookmarkEnd w:id="294"/>
      <w:r/>
      <w:bookmarkEnd w:id="295"/>
      <w:r/>
      <w:bookmarkEnd w:id="296"/>
      <w:r/>
      <w:r/>
    </w:p>
    <w:p>
      <w:pPr>
        <w:ind w:firstLine="373"/>
        <w:spacing w:line="360" w:lineRule="auto"/>
        <w:rPr>
          <w:rFonts w:ascii="Arial" w:hAnsi="Arial" w:cs="Arial"/>
          <w:b/>
          <w:bCs/>
          <w:color w:val="auto"/>
          <w:highlight w:val="none"/>
        </w:rPr>
      </w:pPr>
      <w:r>
        <w:rPr>
          <w:rFonts w:ascii="Arial" w:hAnsi="Arial" w:cs="Arial"/>
          <w:b/>
          <w:bCs/>
          <w:color w:val="auto"/>
          <w:highlight w:val="none"/>
        </w:rPr>
      </w:r>
      <w:r/>
    </w:p>
    <w:p>
      <w:pPr>
        <w:ind w:firstLine="373"/>
        <w:spacing w:line="360" w:lineRule="auto"/>
        <w:rPr>
          <w:rFonts w:ascii="Arial" w:hAnsi="Arial" w:cs="Arial"/>
          <w:b/>
          <w:bCs/>
          <w:color w:val="auto"/>
          <w:highlight w:val="none"/>
        </w:rPr>
      </w:pPr>
      <w:r>
        <w:rPr>
          <w:rFonts w:ascii="Arial" w:hAnsi="Arial" w:cs="Arial"/>
          <w:b/>
          <w:bCs/>
          <w:color w:val="auto"/>
          <w:highlight w:val="none"/>
        </w:rPr>
        <w:t xml:space="preserve">注：如</w:t>
      </w:r>
      <w:r>
        <w:rPr>
          <w:rFonts w:ascii="Arial" w:hAnsi="Arial" w:cs="Arial"/>
          <w:b/>
          <w:bCs/>
          <w:color w:val="auto"/>
          <w:sz w:val="22"/>
          <w:szCs w:val="22"/>
          <w:highlight w:val="none"/>
        </w:rPr>
        <w:t xml:space="preserve">投标人</w:t>
      </w:r>
      <w:r>
        <w:rPr>
          <w:rFonts w:ascii="Arial" w:hAnsi="Arial" w:cs="Arial"/>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ascii="Arial" w:hAnsi="Arial" w:cs="Arial"/>
          <w:b/>
          <w:color w:val="auto"/>
          <w:highlight w:val="none"/>
        </w:rPr>
      </w:pPr>
      <w:r>
        <w:rPr>
          <w:rFonts w:ascii="Arial" w:hAnsi="Arial" w:cs="Arial"/>
          <w:color w:val="auto"/>
          <w:highlight w:val="none"/>
        </w:rPr>
        <w:br w:type="page" w:clear="all"/>
      </w:r>
      <w:bookmarkStart w:id="297" w:name="_Toc107246285"/>
      <w:r/>
      <w:bookmarkStart w:id="298" w:name="_Toc104560905"/>
      <w:r/>
      <w:bookmarkStart w:id="299" w:name="_Toc103848590"/>
      <w:r/>
      <w:bookmarkStart w:id="300" w:name="_Toc102117321"/>
      <w:r>
        <w:rPr>
          <w:rFonts w:ascii="Arial" w:hAnsi="Arial" w:cs="Arial"/>
          <w:b/>
          <w:color w:val="auto"/>
          <w:highlight w:val="none"/>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738"/>
        <w:ind w:firstLine="426"/>
        <w:spacing w:line="240" w:lineRule="atLeast"/>
        <w:rPr>
          <w:rFonts w:ascii="Arial" w:hAnsi="Arial" w:cs="Arial"/>
          <w:bCs w:val="0"/>
          <w:color w:val="auto"/>
          <w:sz w:val="24"/>
          <w:szCs w:val="24"/>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-2）财务报表</w:t>
      </w:r>
      <w:bookmarkEnd w:id="297"/>
      <w:r/>
      <w:bookmarkEnd w:id="298"/>
      <w:r/>
      <w:bookmarkEnd w:id="299"/>
      <w:r/>
      <w:bookmarkEnd w:id="300"/>
      <w:r>
        <w:rPr>
          <w:rFonts w:ascii="Arial" w:hAnsi="Arial" w:cs="Arial"/>
          <w:bCs w:val="0"/>
          <w:color w:val="auto"/>
          <w:sz w:val="24"/>
          <w:szCs w:val="24"/>
          <w:highlight w:val="none"/>
        </w:rPr>
        <w:t xml:space="preserve">等证明文件</w:t>
      </w:r>
      <w:r/>
    </w:p>
    <w:p>
      <w:pPr>
        <w:pStyle w:val="738"/>
        <w:ind w:firstLine="373"/>
        <w:jc w:val="left"/>
        <w:rPr>
          <w:rFonts w:ascii="Arial" w:hAnsi="Arial" w:cs="Arial"/>
          <w:bCs w:val="0"/>
          <w:color w:val="auto"/>
          <w:sz w:val="24"/>
          <w:szCs w:val="24"/>
          <w:highlight w:val="none"/>
        </w:rPr>
      </w:pPr>
      <w:r/>
      <w:bookmarkStart w:id="301" w:name="_Toc102117322"/>
      <w:r/>
      <w:bookmarkStart w:id="302" w:name="_Toc104560908"/>
      <w:r/>
      <w:bookmarkStart w:id="303" w:name="_Toc103848593"/>
      <w:r>
        <w:rPr>
          <w:rFonts w:ascii="Arial" w:hAnsi="Arial" w:cs="Arial"/>
          <w:bCs w:val="0"/>
          <w:color w:val="auto"/>
          <w:sz w:val="21"/>
          <w:szCs w:val="21"/>
          <w:highlight w:val="none"/>
        </w:rPr>
        <w:t xml:space="preserve">具有良好的商业信誉和健全的财务会计制度，提供上年度审计的财务报表复印件（</w:t>
      </w:r>
      <w:r>
        <w:rPr>
          <w:rFonts w:hint="eastAsia" w:ascii="Arial" w:hAnsi="Arial" w:cs="Arial"/>
          <w:bCs w:val="0"/>
          <w:color w:val="auto"/>
          <w:sz w:val="21"/>
          <w:szCs w:val="21"/>
          <w:highlight w:val="none"/>
          <w:lang w:eastAsia="zh-CN"/>
        </w:rPr>
        <w:t xml:space="preserve">2024年度财务报表</w:t>
      </w:r>
      <w:r>
        <w:rPr>
          <w:rFonts w:ascii="Arial" w:hAnsi="Arial" w:cs="Arial"/>
          <w:bCs w:val="0"/>
          <w:color w:val="auto"/>
          <w:sz w:val="21"/>
          <w:szCs w:val="21"/>
          <w:highlight w:val="none"/>
        </w:rPr>
        <w:t xml:space="preserve">，如为新成立的公司，应提供公司成立之后的财务报表）或投标截止时间前</w:t>
      </w:r>
      <w:r>
        <w:rPr>
          <w:rFonts w:hint="eastAsia" w:ascii="Arial" w:hAnsi="Arial" w:cs="Arial"/>
          <w:bCs w:val="0"/>
          <w:color w:val="auto"/>
          <w:sz w:val="21"/>
          <w:szCs w:val="21"/>
          <w:highlight w:val="none"/>
          <w:lang w:val="en-US" w:eastAsia="zh-CN"/>
        </w:rPr>
        <w:t xml:space="preserve">6</w:t>
      </w:r>
      <w:r>
        <w:rPr>
          <w:rFonts w:hint="eastAsia" w:ascii="Arial" w:hAnsi="Arial" w:cs="Arial"/>
          <w:bCs w:val="0"/>
          <w:color w:val="auto"/>
          <w:sz w:val="21"/>
          <w:szCs w:val="21"/>
          <w:highlight w:val="none"/>
          <w:lang w:eastAsia="zh-CN"/>
        </w:rPr>
        <w:t xml:space="preserve">个月内</w:t>
      </w:r>
      <w:r>
        <w:rPr>
          <w:rFonts w:ascii="Arial" w:hAnsi="Arial" w:cs="Arial"/>
          <w:bCs w:val="0"/>
          <w:color w:val="auto"/>
          <w:sz w:val="21"/>
          <w:szCs w:val="21"/>
          <w:highlight w:val="none"/>
        </w:rPr>
        <w:t xml:space="preserve">，由其基本开户银行出具的资信证明或财政部门认可的政府采购专业担保机构出具的投标担保函；</w:t>
      </w:r>
      <w:r>
        <w:rPr>
          <w:rFonts w:ascii="Arial" w:hAnsi="Arial" w:cs="Arial"/>
          <w:bCs w:val="0"/>
          <w:color w:val="auto"/>
          <w:sz w:val="21"/>
          <w:szCs w:val="21"/>
          <w:highlight w:val="none"/>
        </w:rPr>
        <w:br w:type="page" w:clear="all"/>
      </w:r>
      <w:bookmarkStart w:id="304" w:name="_Toc107246286"/>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-3）具有履行合同所必需的设备和专业技术能力的相关证明材料或承诺函（提供承诺函原件）</w:t>
      </w:r>
      <w:bookmarkEnd w:id="301"/>
      <w:r/>
      <w:bookmarkEnd w:id="302"/>
      <w:r/>
      <w:bookmarkEnd w:id="303"/>
      <w:r/>
      <w:bookmarkEnd w:id="304"/>
      <w:r/>
      <w:r/>
    </w:p>
    <w:p>
      <w:pPr>
        <w:ind w:firstLine="372"/>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r>
      <w:r/>
    </w:p>
    <w:p>
      <w:pPr>
        <w:ind w:firstLine="782"/>
        <w:jc w:val="center"/>
        <w:spacing w:before="120" w:after="120" w:line="360" w:lineRule="auto"/>
        <w:rPr>
          <w:rFonts w:ascii="Arial" w:hAnsi="Arial" w:cs="Arial"/>
          <w:b/>
          <w:color w:val="auto"/>
          <w:sz w:val="44"/>
          <w:szCs w:val="44"/>
          <w:highlight w:val="none"/>
        </w:rPr>
      </w:pPr>
      <w:r>
        <w:rPr>
          <w:rFonts w:ascii="Arial" w:hAnsi="Arial" w:cs="Arial"/>
          <w:b/>
          <w:color w:val="auto"/>
          <w:sz w:val="44"/>
          <w:szCs w:val="44"/>
          <w:highlight w:val="none"/>
        </w:rPr>
      </w:r>
      <w:r/>
    </w:p>
    <w:p>
      <w:pPr>
        <w:ind w:firstLine="782"/>
        <w:jc w:val="center"/>
        <w:spacing w:before="120" w:after="120" w:line="360" w:lineRule="auto"/>
        <w:rPr>
          <w:rFonts w:ascii="Arial" w:hAnsi="Arial" w:cs="Arial"/>
          <w:b/>
          <w:color w:val="auto"/>
          <w:sz w:val="44"/>
          <w:szCs w:val="44"/>
          <w:highlight w:val="none"/>
        </w:rPr>
      </w:pPr>
      <w:r>
        <w:rPr>
          <w:rFonts w:ascii="Arial" w:hAnsi="Arial" w:cs="Arial"/>
          <w:b/>
          <w:color w:val="auto"/>
          <w:sz w:val="44"/>
          <w:szCs w:val="44"/>
          <w:highlight w:val="none"/>
        </w:rPr>
      </w:r>
      <w:r/>
    </w:p>
    <w:p>
      <w:pPr>
        <w:ind w:firstLine="779"/>
        <w:jc w:val="center"/>
        <w:spacing w:before="120" w:after="120" w:line="360" w:lineRule="auto"/>
        <w:rPr>
          <w:rFonts w:ascii="Arial" w:hAnsi="Arial" w:cs="Arial"/>
          <w:color w:val="auto"/>
          <w:highlight w:val="none"/>
        </w:rPr>
      </w:pPr>
      <w:r>
        <w:rPr>
          <w:rFonts w:ascii="Arial" w:hAnsi="Arial" w:cs="Arial"/>
          <w:color w:val="auto"/>
          <w:sz w:val="44"/>
          <w:szCs w:val="44"/>
          <w:highlight w:val="none"/>
        </w:rPr>
        <w:t xml:space="preserve">承 诺 函</w:t>
      </w:r>
      <w:r/>
    </w:p>
    <w:p>
      <w:pPr>
        <w:ind w:firstLine="389"/>
        <w:jc w:val="left"/>
        <w:spacing w:before="120" w:after="120" w:line="360" w:lineRule="auto"/>
        <w:rPr>
          <w:rFonts w:ascii="Arial" w:hAnsi="Arial" w:cs="Arial"/>
          <w:color w:val="auto"/>
          <w:sz w:val="22"/>
          <w:highlight w:val="none"/>
        </w:rPr>
      </w:pPr>
      <w:r>
        <w:rPr>
          <w:rFonts w:ascii="Arial" w:hAnsi="Arial" w:cs="Arial"/>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ascii="Arial" w:hAnsi="Arial" w:cs="Arial"/>
          <w:color w:val="auto"/>
          <w:highlight w:val="none"/>
        </w:rPr>
      </w:pPr>
      <w:r>
        <w:rPr>
          <w:rFonts w:ascii="Arial" w:hAnsi="Arial" w:cs="Arial"/>
          <w:color w:val="auto"/>
          <w:highlight w:val="none"/>
        </w:rPr>
      </w:r>
      <w:r/>
    </w:p>
    <w:p>
      <w:pPr>
        <w:ind w:firstLine="372"/>
        <w:jc w:val="left"/>
        <w:spacing w:before="120" w:after="120" w:line="360" w:lineRule="auto"/>
        <w:rPr>
          <w:rFonts w:ascii="Arial" w:hAnsi="Arial" w:cs="Arial"/>
          <w:color w:val="auto"/>
          <w:highlight w:val="none"/>
        </w:rPr>
      </w:pPr>
      <w:r>
        <w:rPr>
          <w:rFonts w:ascii="Arial" w:hAnsi="Arial" w:cs="Arial"/>
          <w:color w:val="auto"/>
          <w:highlight w:val="none"/>
        </w:rPr>
      </w:r>
      <w:r/>
    </w:p>
    <w:p>
      <w:pPr>
        <w:pStyle w:val="718"/>
        <w:ind w:left="1260" w:firstLine="426"/>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r>
      <w:r/>
    </w:p>
    <w:p>
      <w:pPr>
        <w:pStyle w:val="718"/>
        <w:ind w:left="1260" w:firstLine="426"/>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r>
      <w:r/>
    </w:p>
    <w:p>
      <w:pPr>
        <w:ind w:firstLine="372"/>
        <w:spacing w:line="276" w:lineRule="auto"/>
        <w:rPr>
          <w:rFonts w:ascii="Arial" w:hAnsi="Arial" w:cs="Arial"/>
          <w:bCs/>
          <w:color w:val="auto"/>
          <w:highlight w:val="none"/>
        </w:rPr>
      </w:pP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ab/>
      </w:r>
      <w:r>
        <w:rPr>
          <w:rFonts w:ascii="Arial" w:hAnsi="Arial" w:cs="Arial"/>
          <w:bCs/>
          <w:color w:val="auto"/>
          <w:highlight w:val="none"/>
        </w:rPr>
        <w:t xml:space="preserve">投标人名称</w:t>
      </w:r>
      <w:r>
        <w:rPr>
          <w:rFonts w:hint="eastAsia" w:ascii="Arial" w:hAnsi="Arial" w:cs="Arial"/>
          <w:bCs/>
          <w:color w:val="auto"/>
          <w:highlight w:val="none"/>
          <w:lang w:eastAsia="zh-CN"/>
        </w:rPr>
        <w:t xml:space="preserve">（加盖电子公章）</w:t>
      </w:r>
      <w:r>
        <w:rPr>
          <w:rFonts w:ascii="Arial" w:hAnsi="Arial" w:cs="Arial"/>
          <w:bCs/>
          <w:color w:val="auto"/>
          <w:highlight w:val="none"/>
        </w:rPr>
        <w:t xml:space="preserve">：______________________</w:t>
      </w:r>
      <w:r/>
    </w:p>
    <w:p>
      <w:pPr>
        <w:ind w:firstLine="372"/>
        <w:spacing w:line="276" w:lineRule="auto"/>
        <w:rPr>
          <w:rFonts w:ascii="Arial" w:hAnsi="Arial" w:cs="Arial"/>
          <w:color w:val="auto"/>
          <w:szCs w:val="21"/>
          <w:highlight w:val="none"/>
          <w:u w:val="single"/>
        </w:rPr>
      </w:pPr>
      <w:r>
        <w:rPr>
          <w:rFonts w:ascii="Arial" w:hAnsi="Arial" w:cs="Arial"/>
          <w:color w:val="auto"/>
          <w:szCs w:val="21"/>
          <w:highlight w:val="none"/>
          <w:u w:val="single"/>
        </w:rPr>
      </w:r>
      <w:r/>
    </w:p>
    <w:p>
      <w:pPr>
        <w:ind w:firstLine="372"/>
        <w:spacing w:line="276" w:lineRule="auto"/>
        <w:rPr>
          <w:rFonts w:ascii="Arial" w:hAnsi="Arial" w:cs="Arial"/>
          <w:color w:val="auto"/>
          <w:highlight w:val="none"/>
        </w:rPr>
      </w:pPr>
      <w:r>
        <w:rPr>
          <w:rFonts w:ascii="Arial" w:hAnsi="Arial" w:cs="Arial"/>
          <w:bCs/>
          <w:color w:val="auto"/>
          <w:highlight w:val="none"/>
        </w:rPr>
        <w:t xml:space="preserve">                                    日期：______年</w:t>
      </w:r>
      <w:r>
        <w:rPr>
          <w:rFonts w:ascii="Arial" w:hAnsi="Arial" w:cs="Arial"/>
          <w:bCs/>
          <w:color w:val="auto"/>
          <w:highlight w:val="none"/>
          <w:u w:val="single"/>
        </w:rPr>
        <w:tab/>
      </w:r>
      <w:r>
        <w:rPr>
          <w:rFonts w:ascii="Arial" w:hAnsi="Arial" w:cs="Arial"/>
          <w:bCs/>
          <w:color w:val="auto"/>
          <w:highlight w:val="none"/>
          <w:u w:val="single"/>
        </w:rPr>
        <w:tab/>
      </w:r>
      <w:r>
        <w:rPr>
          <w:rFonts w:ascii="Arial" w:hAnsi="Arial" w:cs="Arial"/>
          <w:bCs/>
          <w:color w:val="auto"/>
          <w:highlight w:val="none"/>
        </w:rPr>
        <w:t xml:space="preserve">月</w:t>
      </w:r>
      <w:r>
        <w:rPr>
          <w:rFonts w:ascii="Arial" w:hAnsi="Arial" w:cs="Arial"/>
          <w:bCs/>
          <w:color w:val="auto"/>
          <w:highlight w:val="none"/>
          <w:u w:val="single"/>
        </w:rPr>
        <w:tab/>
      </w:r>
      <w:r>
        <w:rPr>
          <w:rFonts w:ascii="Arial" w:hAnsi="Arial" w:cs="Arial"/>
          <w:bCs/>
          <w:color w:val="auto"/>
          <w:highlight w:val="none"/>
          <w:u w:val="single"/>
        </w:rPr>
        <w:tab/>
      </w:r>
      <w:r>
        <w:rPr>
          <w:rFonts w:ascii="Arial" w:hAnsi="Arial" w:cs="Arial"/>
          <w:bCs/>
          <w:color w:val="auto"/>
          <w:highlight w:val="none"/>
        </w:rPr>
        <w:t xml:space="preserve">日</w:t>
      </w:r>
      <w:r/>
    </w:p>
    <w:p>
      <w:pPr>
        <w:ind w:firstLine="373"/>
        <w:spacing w:line="360" w:lineRule="auto"/>
        <w:rPr>
          <w:rFonts w:ascii="Arial" w:hAnsi="Arial" w:cs="Arial"/>
          <w:b/>
          <w:bCs/>
          <w:color w:val="auto"/>
          <w:highlight w:val="none"/>
        </w:rPr>
      </w:pPr>
      <w:r>
        <w:rPr>
          <w:rFonts w:ascii="Arial" w:hAnsi="Arial" w:cs="Arial"/>
          <w:b/>
          <w:bCs/>
          <w:color w:val="auto"/>
          <w:highlight w:val="none"/>
        </w:rPr>
      </w:r>
      <w:r/>
    </w:p>
    <w:p>
      <w:pPr>
        <w:pStyle w:val="738"/>
        <w:ind w:firstLine="426"/>
        <w:spacing w:line="240" w:lineRule="atLeast"/>
        <w:rPr>
          <w:rFonts w:ascii="Arial" w:hAnsi="Arial" w:cs="Arial"/>
          <w:b w:val="0"/>
          <w:color w:val="auto"/>
          <w:highlight w:val="none"/>
        </w:rPr>
      </w:pPr>
      <w:r/>
      <w:bookmarkStart w:id="305" w:name="_Toc102117323"/>
      <w:r/>
      <w:bookmarkStart w:id="306" w:name="_Toc103848591"/>
      <w:r>
        <w:rPr>
          <w:rFonts w:ascii="Arial" w:hAnsi="Arial" w:cs="Arial"/>
          <w:bCs w:val="0"/>
          <w:color w:val="auto"/>
          <w:sz w:val="24"/>
          <w:szCs w:val="24"/>
          <w:highlight w:val="none"/>
        </w:rPr>
        <w:br w:type="page" w:clear="all"/>
      </w:r>
      <w:bookmarkStart w:id="307" w:name="_Toc107246287"/>
      <w:r/>
      <w:bookmarkStart w:id="308" w:name="_Toc104560906"/>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-4）依法缴纳税收的相关材料</w:t>
      </w:r>
      <w:bookmarkEnd w:id="305"/>
      <w:r/>
      <w:bookmarkEnd w:id="306"/>
      <w:r/>
      <w:bookmarkEnd w:id="307"/>
      <w:r/>
      <w:bookmarkEnd w:id="308"/>
      <w:r/>
      <w:r/>
    </w:p>
    <w:p>
      <w:pPr>
        <w:ind w:firstLine="373"/>
        <w:jc w:val="left"/>
        <w:spacing w:line="360" w:lineRule="auto"/>
        <w:rPr>
          <w:rFonts w:ascii="Arial" w:hAnsi="Arial" w:cs="Arial"/>
          <w:b/>
          <w:bCs/>
          <w:color w:val="auto"/>
          <w:highlight w:val="none"/>
        </w:rPr>
      </w:pPr>
      <w:r>
        <w:rPr>
          <w:rFonts w:ascii="Arial" w:hAnsi="Arial" w:cs="Arial"/>
          <w:b/>
          <w:bCs/>
          <w:color w:val="auto"/>
          <w:highlight w:val="none"/>
        </w:rPr>
        <w:t xml:space="preserve">注：根据招标公告的要求提供本次采购活动前</w:t>
      </w:r>
      <w:r>
        <w:rPr>
          <w:rFonts w:hint="eastAsia" w:ascii="Arial" w:hAnsi="Arial" w:cs="Arial"/>
          <w:b/>
          <w:bCs/>
          <w:color w:val="auto"/>
          <w:highlight w:val="none"/>
          <w:lang w:eastAsia="zh-CN"/>
        </w:rPr>
        <w:t xml:space="preserve">3个月内</w:t>
      </w:r>
      <w:r>
        <w:rPr>
          <w:rFonts w:ascii="Arial" w:hAnsi="Arial" w:cs="Arial"/>
          <w:b/>
          <w:bCs/>
          <w:color w:val="auto"/>
          <w:highlight w:val="none"/>
        </w:rPr>
        <w:t xml:space="preserve">（即</w:t>
      </w:r>
      <w:r>
        <w:rPr>
          <w:rFonts w:hint="eastAsia" w:ascii="Arial" w:hAnsi="Arial" w:cs="Arial"/>
          <w:b/>
          <w:bCs/>
          <w:color w:val="auto"/>
          <w:highlight w:val="none"/>
          <w:u w:val="single"/>
          <w:lang w:eastAsia="zh-CN"/>
        </w:rPr>
        <w:t xml:space="preserve">2025年8月（含）以来</w:t>
      </w:r>
      <w:r>
        <w:rPr>
          <w:rFonts w:ascii="Arial" w:hAnsi="Arial" w:cs="Arial"/>
          <w:b/>
          <w:bCs/>
          <w:color w:val="auto"/>
          <w:highlight w:val="none"/>
        </w:rPr>
        <w:t xml:space="preserve">），至少1个月缴纳税收的凭证复印件，依法享受免缴、缓缴的，提供证明材料复印件。</w:t>
      </w:r>
      <w:r/>
    </w:p>
    <w:p>
      <w:pPr>
        <w:pStyle w:val="738"/>
        <w:spacing w:line="240" w:lineRule="atLeast"/>
        <w:rPr>
          <w:rFonts w:ascii="Arial" w:hAnsi="Arial" w:cs="Arial"/>
          <w:bCs w:val="0"/>
          <w:color w:val="auto"/>
          <w:sz w:val="24"/>
          <w:szCs w:val="24"/>
          <w:highlight w:val="none"/>
        </w:rPr>
      </w:pPr>
      <w:r>
        <w:rPr>
          <w:rFonts w:ascii="Arial" w:hAnsi="Arial" w:cs="Arial"/>
          <w:b w:val="0"/>
          <w:color w:val="auto"/>
          <w:sz w:val="24"/>
          <w:highlight w:val="none"/>
        </w:rPr>
        <w:br w:type="page" w:clear="all"/>
      </w:r>
      <w:bookmarkStart w:id="309" w:name="_Toc102117324"/>
      <w:r/>
      <w:bookmarkStart w:id="310" w:name="_Toc103848592"/>
      <w:r/>
      <w:bookmarkStart w:id="311" w:name="_Toc104560907"/>
      <w:r/>
      <w:bookmarkStart w:id="312" w:name="_Toc107246288"/>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-5）依法缴纳社会保障资金的相关材料</w:t>
      </w:r>
      <w:bookmarkEnd w:id="309"/>
      <w:r/>
      <w:bookmarkEnd w:id="310"/>
      <w:r/>
      <w:bookmarkEnd w:id="311"/>
      <w:r/>
      <w:bookmarkEnd w:id="312"/>
      <w:r/>
      <w:r/>
    </w:p>
    <w:p>
      <w:pPr>
        <w:ind w:firstLine="373"/>
        <w:jc w:val="left"/>
        <w:spacing w:line="360" w:lineRule="auto"/>
        <w:rPr>
          <w:rFonts w:ascii="Arial" w:hAnsi="Arial" w:cs="Arial"/>
          <w:b/>
          <w:bCs/>
          <w:color w:val="auto"/>
          <w:highlight w:val="none"/>
        </w:rPr>
      </w:pPr>
      <w:r>
        <w:rPr>
          <w:rFonts w:ascii="Arial" w:hAnsi="Arial" w:cs="Arial"/>
          <w:b/>
          <w:bCs/>
          <w:color w:val="auto"/>
          <w:highlight w:val="none"/>
        </w:rPr>
        <w:t xml:space="preserve">注：根据招标公告的要求提供本次采购活动前</w:t>
      </w:r>
      <w:r>
        <w:rPr>
          <w:rFonts w:hint="eastAsia" w:ascii="Arial" w:hAnsi="Arial" w:cs="Arial"/>
          <w:b/>
          <w:bCs/>
          <w:color w:val="auto"/>
          <w:highlight w:val="none"/>
          <w:lang w:eastAsia="zh-CN"/>
        </w:rPr>
        <w:t xml:space="preserve">3个月内</w:t>
      </w:r>
      <w:r>
        <w:rPr>
          <w:rFonts w:ascii="Arial" w:hAnsi="Arial" w:cs="Arial"/>
          <w:b/>
          <w:bCs/>
          <w:color w:val="auto"/>
          <w:highlight w:val="none"/>
        </w:rPr>
        <w:t xml:space="preserve">（</w:t>
      </w:r>
      <w:r>
        <w:rPr>
          <w:rFonts w:hint="eastAsia" w:ascii="Arial" w:hAnsi="Arial" w:cs="Arial"/>
          <w:b/>
          <w:bCs/>
          <w:color w:val="auto"/>
          <w:highlight w:val="none"/>
          <w:u w:val="single"/>
          <w:lang w:eastAsia="zh-CN"/>
        </w:rPr>
        <w:t xml:space="preserve">2025年8月（含）以来</w:t>
      </w:r>
      <w:r>
        <w:rPr>
          <w:rFonts w:ascii="Arial" w:hAnsi="Arial" w:cs="Arial"/>
          <w:b/>
          <w:bCs/>
          <w:color w:val="auto"/>
          <w:highlight w:val="none"/>
        </w:rPr>
        <w:t xml:space="preserve">），至少1个月缴纳社会保险的凭证复印件，依法享受免缴、缓缴的，提供证明材料复印件。</w:t>
      </w:r>
      <w:r/>
    </w:p>
    <w:p>
      <w:pPr>
        <w:ind w:firstLine="373"/>
        <w:jc w:val="left"/>
        <w:spacing w:line="360" w:lineRule="auto"/>
        <w:rPr>
          <w:rFonts w:ascii="Arial" w:hAnsi="Arial" w:cs="Arial"/>
          <w:b/>
          <w:bCs/>
          <w:color w:val="auto"/>
          <w:highlight w:val="none"/>
        </w:rPr>
      </w:pPr>
      <w:r>
        <w:rPr>
          <w:rFonts w:ascii="Arial" w:hAnsi="Arial" w:cs="Arial"/>
          <w:b/>
          <w:bCs/>
          <w:color w:val="auto"/>
          <w:highlight w:val="none"/>
        </w:rPr>
      </w:r>
      <w:r/>
    </w:p>
    <w:p>
      <w:pPr>
        <w:ind w:firstLine="373"/>
        <w:spacing w:line="360" w:lineRule="auto"/>
        <w:rPr>
          <w:rFonts w:ascii="Arial" w:hAnsi="Arial" w:cs="Arial"/>
          <w:b/>
          <w:bCs/>
          <w:color w:val="auto"/>
          <w:highlight w:val="none"/>
        </w:rPr>
      </w:pPr>
      <w:r>
        <w:rPr>
          <w:rFonts w:ascii="Arial" w:hAnsi="Arial" w:cs="Arial"/>
          <w:b/>
          <w:bCs/>
          <w:color w:val="auto"/>
          <w:highlight w:val="none"/>
        </w:rPr>
      </w:r>
      <w:r/>
    </w:p>
    <w:p>
      <w:pPr>
        <w:pStyle w:val="738"/>
        <w:ind w:firstLine="566"/>
        <w:spacing w:line="240" w:lineRule="atLeast"/>
        <w:rPr>
          <w:rFonts w:ascii="Arial" w:hAnsi="Arial" w:cs="Arial"/>
          <w:b w:val="0"/>
          <w:color w:val="auto"/>
          <w:sz w:val="24"/>
          <w:highlight w:val="none"/>
        </w:rPr>
      </w:pPr>
      <w:r>
        <w:rPr>
          <w:rFonts w:ascii="Arial" w:hAnsi="Arial" w:cs="Arial"/>
          <w:b w:val="0"/>
          <w:bCs w:val="0"/>
          <w:color w:val="auto"/>
          <w:highlight w:val="none"/>
        </w:rPr>
        <w:br w:type="page" w:clear="all"/>
      </w:r>
      <w:bookmarkStart w:id="313" w:name="_Toc107246289"/>
      <w:r/>
      <w:bookmarkStart w:id="314" w:name="_Toc102117325"/>
      <w:r/>
      <w:bookmarkStart w:id="315" w:name="_Toc104560909"/>
      <w:r/>
      <w:bookmarkStart w:id="316" w:name="_Toc103848594"/>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-6）没有重大违法记录的书面声明</w:t>
      </w:r>
      <w:bookmarkEnd w:id="313"/>
      <w:r/>
      <w:bookmarkEnd w:id="314"/>
      <w:r/>
      <w:bookmarkEnd w:id="315"/>
      <w:r/>
      <w:bookmarkEnd w:id="316"/>
      <w:r/>
      <w:r/>
    </w:p>
    <w:p>
      <w:pPr>
        <w:ind w:firstLine="373"/>
        <w:spacing w:line="360" w:lineRule="auto"/>
        <w:rPr>
          <w:rFonts w:ascii="Arial" w:hAnsi="Arial" w:cs="Arial"/>
          <w:b/>
          <w:bCs/>
          <w:color w:val="auto"/>
          <w:highlight w:val="none"/>
        </w:rPr>
      </w:pPr>
      <w:r>
        <w:rPr>
          <w:rFonts w:ascii="Arial" w:hAnsi="Arial" w:cs="Arial"/>
          <w:b/>
          <w:bCs/>
          <w:color w:val="auto"/>
          <w:highlight w:val="none"/>
        </w:rPr>
      </w:r>
      <w:r/>
    </w:p>
    <w:p>
      <w:pPr>
        <w:ind w:firstLine="373"/>
        <w:spacing w:line="360" w:lineRule="auto"/>
        <w:rPr>
          <w:rFonts w:ascii="Arial" w:hAnsi="Arial" w:cs="Arial"/>
          <w:b/>
          <w:bCs/>
          <w:color w:val="auto"/>
          <w:highlight w:val="none"/>
        </w:rPr>
      </w:pPr>
      <w:r>
        <w:rPr>
          <w:rFonts w:ascii="Arial" w:hAnsi="Arial" w:cs="Arial"/>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ascii="Arial" w:hAnsi="Arial" w:cs="Arial"/>
          <w:b/>
          <w:color w:val="auto"/>
          <w:sz w:val="32"/>
          <w:szCs w:val="32"/>
          <w:highlight w:val="none"/>
        </w:rPr>
      </w:pPr>
      <w:r>
        <w:rPr>
          <w:rFonts w:ascii="Arial" w:hAnsi="Arial" w:cs="Arial"/>
          <w:b/>
          <w:color w:val="auto"/>
          <w:sz w:val="32"/>
          <w:szCs w:val="32"/>
          <w:highlight w:val="none"/>
        </w:rPr>
      </w:r>
      <w:r/>
    </w:p>
    <w:p>
      <w:pPr>
        <w:ind w:firstLine="569"/>
        <w:jc w:val="center"/>
        <w:spacing w:line="360" w:lineRule="auto"/>
        <w:rPr>
          <w:rFonts w:ascii="Arial" w:hAnsi="Arial" w:cs="Arial"/>
          <w:b/>
          <w:color w:val="auto"/>
          <w:sz w:val="32"/>
          <w:szCs w:val="32"/>
          <w:highlight w:val="none"/>
        </w:rPr>
      </w:pPr>
      <w:r>
        <w:rPr>
          <w:rFonts w:ascii="Arial" w:hAnsi="Arial" w:cs="Arial"/>
          <w:b/>
          <w:color w:val="auto"/>
          <w:sz w:val="32"/>
          <w:szCs w:val="32"/>
          <w:highlight w:val="none"/>
        </w:rPr>
      </w:r>
      <w:r/>
    </w:p>
    <w:p>
      <w:pPr>
        <w:ind w:firstLine="779"/>
        <w:jc w:val="center"/>
        <w:spacing w:line="360" w:lineRule="auto"/>
        <w:rPr>
          <w:rFonts w:ascii="Arial" w:hAnsi="Arial" w:cs="Arial"/>
          <w:bCs/>
          <w:color w:val="auto"/>
          <w:sz w:val="44"/>
          <w:szCs w:val="44"/>
          <w:highlight w:val="none"/>
        </w:rPr>
      </w:pPr>
      <w:r>
        <w:rPr>
          <w:rFonts w:ascii="Arial" w:hAnsi="Arial" w:cs="Arial"/>
          <w:bCs/>
          <w:color w:val="auto"/>
          <w:sz w:val="44"/>
          <w:szCs w:val="44"/>
          <w:highlight w:val="none"/>
        </w:rPr>
        <w:t xml:space="preserve">声  明</w:t>
      </w:r>
      <w:r/>
    </w:p>
    <w:p>
      <w:pPr>
        <w:ind w:firstLine="496"/>
        <w:rPr>
          <w:rFonts w:ascii="Arial" w:hAnsi="Arial" w:cs="Arial"/>
          <w:color w:val="auto"/>
          <w:sz w:val="28"/>
          <w:szCs w:val="28"/>
          <w:highlight w:val="none"/>
        </w:rPr>
      </w:pPr>
      <w:r>
        <w:rPr>
          <w:rFonts w:ascii="Arial" w:hAnsi="Arial" w:cs="Arial"/>
          <w:color w:val="auto"/>
          <w:sz w:val="28"/>
          <w:szCs w:val="28"/>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tab/>
      </w:r>
      <w:r>
        <w:rPr>
          <w:rFonts w:ascii="Arial" w:hAnsi="Arial" w:cs="Arial"/>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ascii="Arial" w:hAnsi="Arial" w:cs="Arial"/>
          <w:bCs/>
          <w:color w:val="auto"/>
          <w:highlight w:val="none"/>
        </w:rPr>
      </w:pPr>
      <w:r>
        <w:rPr>
          <w:rFonts w:ascii="Arial" w:hAnsi="Arial" w:cs="Arial"/>
          <w:bCs/>
          <w:color w:val="auto"/>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r>
      <w:r/>
    </w:p>
    <w:p>
      <w:pPr>
        <w:ind w:firstLine="3990"/>
        <w:spacing w:line="360" w:lineRule="auto"/>
        <w:rPr>
          <w:rFonts w:ascii="Arial" w:hAnsi="Arial" w:cs="Arial"/>
          <w:color w:val="auto"/>
          <w:szCs w:val="21"/>
          <w:highlight w:val="none"/>
          <w:u w:val="single"/>
        </w:rPr>
      </w:pPr>
      <w:r>
        <w:rPr>
          <w:rFonts w:ascii="Arial" w:hAnsi="Arial" w:cs="Arial"/>
          <w:bCs/>
          <w:color w:val="auto"/>
          <w:highlight w:val="none"/>
        </w:rPr>
        <w:t xml:space="preserve">投标人名称</w:t>
      </w:r>
      <w:r>
        <w:rPr>
          <w:rFonts w:hint="eastAsia" w:ascii="Arial" w:hAnsi="Arial" w:cs="Arial"/>
          <w:bCs/>
          <w:color w:val="auto"/>
          <w:highlight w:val="none"/>
          <w:lang w:eastAsia="zh-CN"/>
        </w:rPr>
        <w:t xml:space="preserve">（加盖电子公章）</w:t>
      </w:r>
      <w:r>
        <w:rPr>
          <w:rFonts w:ascii="Arial" w:hAnsi="Arial" w:cs="Arial"/>
          <w:bCs/>
          <w:color w:val="auto"/>
          <w:highlight w:val="none"/>
        </w:rPr>
        <w:t xml:space="preserve">：</w:t>
      </w:r>
      <w:r>
        <w:rPr>
          <w:rFonts w:ascii="Arial" w:hAnsi="Arial" w:cs="Arial"/>
          <w:color w:val="auto"/>
          <w:szCs w:val="21"/>
          <w:highlight w:val="none"/>
          <w:u w:val="single"/>
        </w:rPr>
        <w:tab/>
      </w:r>
      <w:r>
        <w:rPr>
          <w:rFonts w:ascii="Arial" w:hAnsi="Arial" w:cs="Arial"/>
          <w:color w:val="auto"/>
          <w:szCs w:val="21"/>
          <w:highlight w:val="none"/>
          <w:u w:val="single"/>
        </w:rPr>
        <w:tab/>
      </w:r>
      <w:r/>
    </w:p>
    <w:p>
      <w:pPr>
        <w:ind w:firstLine="3990"/>
        <w:spacing w:line="360" w:lineRule="auto"/>
        <w:rPr>
          <w:rFonts w:ascii="Arial" w:hAnsi="Arial" w:cs="Arial"/>
          <w:bCs/>
          <w:color w:val="auto"/>
          <w:highlight w:val="none"/>
        </w:rPr>
      </w:pPr>
      <w:r>
        <w:rPr>
          <w:rFonts w:ascii="Arial" w:hAnsi="Arial" w:cs="Arial"/>
          <w:bCs/>
          <w:color w:val="auto"/>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t xml:space="preserve">                                      日期：______年______月______日</w:t>
      </w:r>
      <w:r/>
    </w:p>
    <w:p>
      <w:pPr>
        <w:ind w:firstLine="372"/>
        <w:spacing w:line="360" w:lineRule="auto"/>
        <w:rPr>
          <w:rFonts w:ascii="Arial" w:hAnsi="Arial" w:cs="Arial"/>
          <w:b/>
          <w:bCs/>
          <w:color w:val="auto"/>
          <w:highlight w:val="none"/>
        </w:rPr>
      </w:pPr>
      <w:r>
        <w:rPr>
          <w:rFonts w:ascii="Arial" w:hAnsi="Arial" w:cs="Arial"/>
          <w:bCs/>
          <w:color w:val="auto"/>
          <w:highlight w:val="none"/>
        </w:rPr>
        <w:t xml:space="preserve">备注：</w:t>
      </w:r>
      <w:r/>
    </w:p>
    <w:p>
      <w:pPr>
        <w:ind w:firstLine="372"/>
        <w:spacing w:line="360" w:lineRule="auto"/>
        <w:rPr>
          <w:rFonts w:ascii="Arial" w:hAnsi="Arial" w:cs="Arial"/>
          <w:b/>
          <w:bCs/>
          <w:color w:val="auto"/>
          <w:highlight w:val="none"/>
        </w:rPr>
      </w:pPr>
      <w:r>
        <w:rPr>
          <w:rFonts w:ascii="Arial" w:hAnsi="Arial" w:cs="Arial"/>
          <w:bCs/>
          <w:color w:val="auto"/>
          <w:highlight w:val="none"/>
        </w:rPr>
        <w:t xml:space="preserve">较大数额罚款金额规定如下：</w:t>
      </w:r>
      <w:r/>
    </w:p>
    <w:p>
      <w:pPr>
        <w:ind w:firstLine="372"/>
        <w:spacing w:line="360" w:lineRule="auto"/>
        <w:rPr>
          <w:rFonts w:ascii="Arial" w:hAnsi="Arial" w:cs="Arial"/>
          <w:b/>
          <w:color w:val="auto"/>
          <w:sz w:val="32"/>
          <w:szCs w:val="32"/>
          <w:highlight w:val="none"/>
        </w:rPr>
      </w:pPr>
      <w:r>
        <w:rPr>
          <w:rFonts w:ascii="Arial" w:hAnsi="Arial" w:cs="Arial"/>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38"/>
        <w:ind w:firstLine="566"/>
        <w:spacing w:line="240" w:lineRule="atLeast"/>
        <w:rPr>
          <w:rFonts w:ascii="Arial" w:hAnsi="Arial" w:cs="Arial"/>
          <w:b w:val="0"/>
          <w:color w:val="auto"/>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b w:val="0"/>
          <w:color w:val="auto"/>
          <w:highlight w:val="none"/>
        </w:rPr>
        <w:br w:type="page" w:clear="all"/>
      </w:r>
      <w:bookmarkStart w:id="317" w:name="_Toc107246290"/>
      <w:r/>
      <w:bookmarkStart w:id="318" w:name="_Toc104560910"/>
      <w:r/>
      <w:r/>
    </w:p>
    <w:p>
      <w:pPr>
        <w:pStyle w:val="738"/>
        <w:ind w:firstLine="426"/>
        <w:spacing w:line="240" w:lineRule="atLeast"/>
        <w:rPr>
          <w:rFonts w:ascii="Arial" w:hAnsi="Arial" w:cs="Arial"/>
          <w:bCs w:val="0"/>
          <w:color w:val="auto"/>
          <w:sz w:val="24"/>
          <w:szCs w:val="24"/>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-7） 信用中国查询</w:t>
      </w:r>
      <w:r/>
    </w:p>
    <w:p>
      <w:pPr>
        <w:ind w:firstLine="420"/>
        <w:spacing w:line="360" w:lineRule="auto"/>
        <w:rPr>
          <w:rFonts w:ascii="Arial" w:hAnsi="Arial" w:cs="Arial"/>
          <w:color w:val="auto"/>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738"/>
        <w:ind w:firstLine="426"/>
        <w:spacing w:line="240" w:lineRule="atLeast"/>
        <w:rPr>
          <w:rFonts w:ascii="Arial" w:hAnsi="Arial" w:cs="Arial"/>
          <w:b w:val="0"/>
          <w:color w:val="auto"/>
          <w:sz w:val="24"/>
          <w:szCs w:val="24"/>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-8）承诺函</w:t>
      </w:r>
      <w:bookmarkEnd w:id="317"/>
      <w:r/>
      <w:bookmarkEnd w:id="318"/>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（一）本单位郑重承诺满足以下要求：</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1.投标人单位负责人为同一人或者存在直接控股、管理关系的不同投标人，不得同时参加本项目的采购活动。</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2.凡为采购项目提供整体设计、规范编制或者项目管理、监理、检测等服务的投标人，不得再参加本项目的采购活动。</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（二）本单位郑重承诺，我单位无以下不良信用记录情形：</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1.被人民法院列入失信被执行人；</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2.被税务部门列入重大税收违法失信主体；</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3.被政府采购监管部门列入政府采购严重违法失信行为记录名单；</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4.不符合《政府采购法》第二十二条规定的条件。</w:t>
      </w:r>
      <w:r/>
    </w:p>
    <w:p>
      <w:pPr>
        <w:pStyle w:val="972"/>
        <w:ind w:firstLine="420"/>
        <w:spacing w:line="480" w:lineRule="auto"/>
        <w:rPr>
          <w:rFonts w:ascii="Arial" w:hAnsi="Arial" w:cs="Arial"/>
          <w:color w:val="auto"/>
          <w:sz w:val="21"/>
          <w:szCs w:val="21"/>
          <w:highlight w:val="none"/>
        </w:rPr>
      </w:pPr>
      <w:r>
        <w:rPr>
          <w:rFonts w:ascii="Arial" w:hAnsi="Arial" w:cs="Arial"/>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72"/>
        <w:ind w:firstLine="400"/>
        <w:rPr>
          <w:rFonts w:ascii="Arial" w:hAnsi="Arial" w:cs="Arial"/>
          <w:color w:val="auto"/>
          <w:highlight w:val="none"/>
        </w:rPr>
      </w:pPr>
      <w:r>
        <w:rPr>
          <w:rFonts w:ascii="Arial" w:hAnsi="Arial" w:cs="Arial"/>
          <w:color w:val="auto"/>
          <w:highlight w:val="none"/>
        </w:rPr>
      </w:r>
      <w:r/>
    </w:p>
    <w:p>
      <w:pPr>
        <w:pStyle w:val="972"/>
        <w:ind w:firstLine="400"/>
        <w:rPr>
          <w:rFonts w:ascii="Arial" w:hAnsi="Arial" w:cs="Arial"/>
          <w:color w:val="auto"/>
          <w:highlight w:val="none"/>
        </w:rPr>
      </w:pPr>
      <w:r>
        <w:rPr>
          <w:rFonts w:ascii="Arial" w:hAnsi="Arial" w:cs="Arial"/>
          <w:color w:val="auto"/>
          <w:highlight w:val="none"/>
        </w:rPr>
      </w:r>
      <w:r/>
    </w:p>
    <w:p>
      <w:pPr>
        <w:ind w:firstLine="3990"/>
        <w:spacing w:line="360" w:lineRule="auto"/>
        <w:rPr>
          <w:rFonts w:ascii="Arial" w:hAnsi="Arial" w:cs="Arial"/>
          <w:color w:val="auto"/>
          <w:szCs w:val="21"/>
          <w:highlight w:val="none"/>
          <w:u w:val="single"/>
        </w:rPr>
      </w:pPr>
      <w:r/>
      <w:bookmarkStart w:id="319" w:name="_Toc102117326"/>
      <w:r/>
      <w:bookmarkStart w:id="320" w:name="_Toc103848596"/>
      <w:r>
        <w:rPr>
          <w:rFonts w:ascii="Arial" w:hAnsi="Arial" w:cs="Arial"/>
          <w:bCs/>
          <w:color w:val="auto"/>
          <w:highlight w:val="none"/>
        </w:rPr>
        <w:t xml:space="preserve">投标人名称</w:t>
      </w:r>
      <w:r>
        <w:rPr>
          <w:rFonts w:hint="eastAsia" w:ascii="Arial" w:hAnsi="Arial" w:cs="Arial"/>
          <w:bCs/>
          <w:color w:val="auto"/>
          <w:highlight w:val="none"/>
          <w:lang w:eastAsia="zh-CN"/>
        </w:rPr>
        <w:t xml:space="preserve">（加盖电子公章）</w:t>
      </w:r>
      <w:r>
        <w:rPr>
          <w:rFonts w:ascii="Arial" w:hAnsi="Arial" w:cs="Arial"/>
          <w:bCs/>
          <w:color w:val="auto"/>
          <w:highlight w:val="none"/>
        </w:rPr>
        <w:t xml:space="preserve">：</w:t>
      </w:r>
      <w:r>
        <w:rPr>
          <w:rFonts w:ascii="Arial" w:hAnsi="Arial" w:cs="Arial"/>
          <w:color w:val="auto"/>
          <w:szCs w:val="21"/>
          <w:highlight w:val="none"/>
          <w:u w:val="single"/>
        </w:rPr>
        <w:tab/>
      </w:r>
      <w:r>
        <w:rPr>
          <w:rFonts w:ascii="Arial" w:hAnsi="Arial" w:cs="Arial"/>
          <w:color w:val="auto"/>
          <w:szCs w:val="21"/>
          <w:highlight w:val="none"/>
          <w:u w:val="single"/>
        </w:rPr>
        <w:tab/>
      </w:r>
      <w:r/>
    </w:p>
    <w:p>
      <w:pPr>
        <w:ind w:firstLine="3990"/>
        <w:spacing w:line="360" w:lineRule="auto"/>
        <w:rPr>
          <w:rFonts w:ascii="Arial" w:hAnsi="Arial" w:cs="Arial"/>
          <w:bCs/>
          <w:color w:val="auto"/>
          <w:highlight w:val="none"/>
        </w:rPr>
      </w:pPr>
      <w:r>
        <w:rPr>
          <w:rFonts w:ascii="Arial" w:hAnsi="Arial" w:cs="Arial"/>
          <w:bCs/>
          <w:color w:val="auto"/>
          <w:highlight w:val="none"/>
        </w:rPr>
      </w:r>
      <w:r/>
    </w:p>
    <w:p>
      <w:pPr>
        <w:ind w:firstLine="372"/>
        <w:spacing w:line="360" w:lineRule="auto"/>
        <w:rPr>
          <w:rFonts w:ascii="Arial" w:hAnsi="Arial" w:cs="Arial"/>
          <w:bCs/>
          <w:color w:val="auto"/>
          <w:highlight w:val="none"/>
        </w:rPr>
      </w:pPr>
      <w:r>
        <w:rPr>
          <w:rFonts w:ascii="Arial" w:hAnsi="Arial" w:cs="Arial"/>
          <w:bCs/>
          <w:color w:val="auto"/>
          <w:highlight w:val="none"/>
        </w:rPr>
        <w:t xml:space="preserve">                                      日期：______年</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bCs/>
          <w:color w:val="auto"/>
          <w:highlight w:val="none"/>
        </w:rPr>
        <w:t xml:space="preserve">月</w:t>
      </w:r>
      <w:r>
        <w:rPr>
          <w:rFonts w:ascii="Arial" w:hAnsi="Arial" w:cs="Arial"/>
          <w:color w:val="auto"/>
          <w:szCs w:val="21"/>
          <w:highlight w:val="none"/>
          <w:u w:val="single"/>
        </w:rPr>
        <w:tab/>
      </w:r>
      <w:r>
        <w:rPr>
          <w:rFonts w:ascii="Arial" w:hAnsi="Arial" w:cs="Arial"/>
          <w:color w:val="auto"/>
          <w:szCs w:val="21"/>
          <w:highlight w:val="none"/>
          <w:u w:val="single"/>
        </w:rPr>
        <w:tab/>
      </w:r>
      <w:r>
        <w:rPr>
          <w:rFonts w:ascii="Arial" w:hAnsi="Arial" w:cs="Arial"/>
          <w:bCs/>
          <w:color w:val="auto"/>
          <w:highlight w:val="none"/>
        </w:rPr>
        <w:t xml:space="preserve">日</w:t>
      </w:r>
      <w:r/>
    </w:p>
    <w:p>
      <w:pPr>
        <w:pStyle w:val="738"/>
        <w:ind w:firstLine="426"/>
        <w:spacing w:before="0"/>
        <w:rPr>
          <w:rFonts w:ascii="Arial" w:hAnsi="Arial" w:cs="Arial"/>
          <w:bCs w:val="0"/>
          <w:color w:val="auto"/>
          <w:sz w:val="24"/>
          <w:szCs w:val="24"/>
          <w:highlight w:val="none"/>
        </w:rPr>
      </w:pPr>
      <w:r>
        <w:rPr>
          <w:rFonts w:ascii="Arial" w:hAnsi="Arial" w:cs="Arial"/>
          <w:bCs w:val="0"/>
          <w:color w:val="auto"/>
          <w:sz w:val="24"/>
          <w:szCs w:val="24"/>
          <w:highlight w:val="none"/>
        </w:rPr>
        <w:br w:type="page" w:clear="all"/>
      </w:r>
      <w:bookmarkStart w:id="321" w:name="_Toc107246291"/>
      <w:r/>
      <w:bookmarkStart w:id="322" w:name="_Toc104560911"/>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7</w:t>
      </w:r>
      <w:r>
        <w:rPr>
          <w:rFonts w:ascii="Arial" w:hAnsi="Arial" w:cs="Arial"/>
          <w:bCs w:val="0"/>
          <w:color w:val="auto"/>
          <w:sz w:val="24"/>
          <w:szCs w:val="24"/>
          <w:highlight w:val="none"/>
        </w:rPr>
        <w:t xml:space="preserve">-9）</w:t>
      </w:r>
      <w:bookmarkEnd w:id="319"/>
      <w:r>
        <w:rPr>
          <w:rFonts w:ascii="Arial" w:hAnsi="Arial" w:cs="Arial"/>
          <w:bCs w:val="0"/>
          <w:color w:val="auto"/>
          <w:sz w:val="24"/>
          <w:szCs w:val="24"/>
          <w:highlight w:val="none"/>
        </w:rPr>
        <w:t xml:space="preserve">招标文件要求的</w:t>
      </w:r>
      <w:r>
        <w:rPr>
          <w:rFonts w:hint="eastAsia" w:ascii="Arial" w:hAnsi="Arial" w:cs="Arial"/>
          <w:bCs w:val="0"/>
          <w:color w:val="auto"/>
          <w:sz w:val="24"/>
          <w:szCs w:val="24"/>
          <w:highlight w:val="none"/>
          <w:lang w:eastAsia="zh-CN"/>
        </w:rPr>
        <w:t xml:space="preserve">其他</w:t>
      </w:r>
      <w:r>
        <w:rPr>
          <w:rFonts w:ascii="Arial" w:hAnsi="Arial" w:cs="Arial"/>
          <w:bCs w:val="0"/>
          <w:color w:val="auto"/>
          <w:sz w:val="24"/>
          <w:szCs w:val="24"/>
          <w:highlight w:val="none"/>
        </w:rPr>
        <w:t xml:space="preserve">实质性资格资信证明文件</w:t>
      </w:r>
      <w:bookmarkEnd w:id="321"/>
      <w:r/>
      <w:bookmarkEnd w:id="322"/>
      <w:r/>
      <w:r/>
    </w:p>
    <w:p>
      <w:pPr>
        <w:ind w:firstLine="372"/>
        <w:rPr>
          <w:rFonts w:ascii="Arial" w:hAnsi="Arial" w:cs="Arial"/>
          <w:b/>
          <w:bCs/>
          <w:color w:val="auto"/>
          <w:highlight w:val="none"/>
        </w:rPr>
      </w:pPr>
      <w:r/>
      <w:bookmarkStart w:id="323" w:name="_Toc107246292"/>
      <w:r>
        <w:rPr>
          <w:rFonts w:ascii="Arial" w:hAnsi="Arial" w:cs="Arial"/>
          <w:b/>
          <w:bCs/>
          <w:color w:val="auto"/>
          <w:highlight w:val="none"/>
        </w:rPr>
        <w:t xml:space="preserve">其他资格要求</w:t>
      </w:r>
      <w:r>
        <w:rPr>
          <w:rFonts w:hint="eastAsia" w:ascii="Arial" w:hAnsi="Arial" w:cs="Arial"/>
          <w:b/>
          <w:bCs/>
          <w:color w:val="auto"/>
          <w:highlight w:val="none"/>
          <w:lang w:eastAsia="zh-CN"/>
        </w:rPr>
        <w:t xml:space="preserve">（</w:t>
      </w:r>
      <w:r>
        <w:rPr>
          <w:rFonts w:hint="eastAsia" w:ascii="Arial" w:hAnsi="Arial" w:cs="Arial"/>
          <w:b/>
          <w:bCs/>
          <w:color w:val="auto"/>
          <w:highlight w:val="none"/>
          <w:lang w:val="en-US" w:eastAsia="zh-CN"/>
        </w:rPr>
        <w:t xml:space="preserve">如有）</w:t>
      </w:r>
      <w:r>
        <w:rPr>
          <w:rFonts w:ascii="Arial" w:hAnsi="Arial" w:cs="Arial"/>
          <w:b/>
          <w:bCs/>
          <w:color w:val="auto"/>
          <w:highlight w:val="none"/>
        </w:rPr>
        <w:t xml:space="preserve">：</w:t>
      </w:r>
      <w:r/>
    </w:p>
    <w:p>
      <w:pPr>
        <w:rPr>
          <w:rFonts w:ascii="Arial" w:hAnsi="Arial" w:cs="Arial"/>
          <w:bCs/>
          <w:color w:val="auto"/>
          <w:szCs w:val="21"/>
          <w:highlight w:val="none"/>
        </w:rPr>
      </w:pPr>
      <w:r>
        <w:rPr>
          <w:rFonts w:ascii="Arial" w:hAnsi="Arial" w:cs="Arial"/>
          <w:bCs/>
          <w:color w:val="auto"/>
          <w:szCs w:val="21"/>
          <w:highlight w:val="none"/>
        </w:rPr>
        <w:br w:type="page" w:clear="all"/>
      </w:r>
      <w:bookmarkEnd w:id="323"/>
      <w:r/>
      <w:r/>
    </w:p>
    <w:p>
      <w:pPr>
        <w:pStyle w:val="738"/>
        <w:ind w:firstLine="426"/>
        <w:jc w:val="left"/>
        <w:spacing w:before="0"/>
        <w:rPr>
          <w:rFonts w:ascii="Arial" w:hAnsi="Arial" w:cs="Arial"/>
          <w:bCs w:val="0"/>
          <w:color w:val="auto"/>
          <w:sz w:val="24"/>
          <w:szCs w:val="24"/>
          <w:highlight w:val="none"/>
        </w:rPr>
      </w:pPr>
      <w:r/>
      <w:bookmarkStart w:id="324" w:name="_Toc104560912"/>
      <w:r/>
      <w:bookmarkStart w:id="325" w:name="_Toc107246293"/>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8</w:t>
      </w:r>
      <w:r>
        <w:rPr>
          <w:rFonts w:ascii="Arial" w:hAnsi="Arial" w:cs="Arial"/>
          <w:bCs w:val="0"/>
          <w:color w:val="auto"/>
          <w:sz w:val="24"/>
          <w:szCs w:val="24"/>
          <w:highlight w:val="none"/>
        </w:rPr>
        <w:t xml:space="preserve">）《南京市政府采购供应商信用记录表暨信用承诺书》</w:t>
      </w:r>
      <w:bookmarkEnd w:id="320"/>
      <w:r/>
      <w:bookmarkEnd w:id="324"/>
      <w:r/>
      <w:bookmarkEnd w:id="325"/>
      <w:r/>
      <w:r/>
    </w:p>
    <w:p>
      <w:pPr>
        <w:rPr>
          <w:rFonts w:ascii="Arial" w:hAnsi="Arial" w:cs="Arial"/>
          <w:color w:val="auto"/>
          <w:sz w:val="24"/>
          <w:szCs w:val="24"/>
          <w:highlight w:val="none"/>
        </w:rPr>
      </w:pPr>
      <w:r/>
      <w:bookmarkStart w:id="326" w:name="_Toc107246296"/>
      <w:r/>
      <w:bookmarkStart w:id="327" w:name="_Toc104560915"/>
      <w:r/>
      <w:bookmarkStart w:id="328" w:name="_Toc103848598"/>
      <w:r/>
      <w:bookmarkStart w:id="329" w:name="_Toc102117330"/>
      <w:r>
        <w:rPr>
          <w:rFonts w:ascii="Arial" w:hAnsi="Arial" w:cs="Arial"/>
          <w:color w:val="auto"/>
          <w:sz w:val="24"/>
          <w:szCs w:val="24"/>
          <w:highlight w:val="none"/>
        </w:rPr>
        <w:br w:type="page" w:clear="all"/>
      </w:r>
      <w:r/>
    </w:p>
    <w:p>
      <w:pPr>
        <w:pStyle w:val="738"/>
        <w:ind w:firstLine="426"/>
        <w:rPr>
          <w:rFonts w:ascii="Arial" w:hAnsi="Arial" w:cs="Arial"/>
          <w:b w:val="0"/>
          <w:color w:val="auto"/>
          <w:sz w:val="24"/>
          <w:szCs w:val="24"/>
          <w:highlight w:val="none"/>
        </w:rPr>
      </w:pPr>
      <w:r>
        <w:rPr>
          <w:rFonts w:ascii="Arial" w:hAnsi="Arial" w:cs="Arial"/>
          <w:color w:val="auto"/>
          <w:sz w:val="24"/>
          <w:szCs w:val="24"/>
          <w:highlight w:val="none"/>
        </w:rPr>
        <w:t xml:space="preserve">（</w:t>
      </w:r>
      <w:r>
        <w:rPr>
          <w:rFonts w:hint="eastAsia" w:ascii="Arial" w:hAnsi="Arial" w:cs="Arial"/>
          <w:color w:val="auto"/>
          <w:sz w:val="24"/>
          <w:szCs w:val="24"/>
          <w:highlight w:val="none"/>
          <w:lang w:val="en-US" w:eastAsia="zh-CN"/>
        </w:rPr>
        <w:t xml:space="preserve">9</w:t>
      </w:r>
      <w:r>
        <w:rPr>
          <w:rFonts w:ascii="Arial" w:hAnsi="Arial" w:cs="Arial"/>
          <w:color w:val="auto"/>
          <w:sz w:val="24"/>
          <w:szCs w:val="24"/>
          <w:highlight w:val="none"/>
        </w:rPr>
        <w:t xml:space="preserve">）公章授权书（如需）</w:t>
      </w:r>
      <w:bookmarkEnd w:id="326"/>
      <w:r/>
      <w:bookmarkEnd w:id="327"/>
      <w:r/>
      <w:bookmarkEnd w:id="328"/>
      <w:r/>
      <w:bookmarkEnd w:id="329"/>
      <w:r/>
      <w:r/>
    </w:p>
    <w:p>
      <w:pPr>
        <w:pStyle w:val="972"/>
        <w:ind w:firstLine="0"/>
        <w:rPr>
          <w:rFonts w:ascii="Arial" w:hAnsi="Arial" w:cs="Arial"/>
          <w:b/>
          <w:color w:val="auto"/>
          <w:sz w:val="21"/>
          <w:szCs w:val="21"/>
          <w:highlight w:val="none"/>
        </w:rPr>
      </w:pPr>
      <w:r>
        <w:rPr>
          <w:rFonts w:ascii="Arial" w:hAnsi="Arial" w:cs="Arial"/>
          <w:b/>
          <w:color w:val="auto"/>
          <w:sz w:val="21"/>
          <w:szCs w:val="21"/>
          <w:highlight w:val="none"/>
        </w:rPr>
      </w:r>
      <w:r/>
    </w:p>
    <w:p>
      <w:pPr>
        <w:pStyle w:val="972"/>
        <w:ind w:firstLine="0"/>
        <w:rPr>
          <w:rFonts w:ascii="Arial" w:hAnsi="Arial" w:cs="Arial"/>
          <w:color w:val="auto"/>
          <w:sz w:val="21"/>
          <w:szCs w:val="21"/>
          <w:highlight w:val="none"/>
        </w:rPr>
      </w:pPr>
      <w:r>
        <w:rPr>
          <w:rFonts w:ascii="Arial" w:hAnsi="Arial" w:cs="Arial"/>
          <w:color w:val="auto"/>
          <w:sz w:val="21"/>
          <w:szCs w:val="21"/>
          <w:highlight w:val="none"/>
        </w:rPr>
        <w:t xml:space="preserve">______________________（采购人）</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______</w:t>
      </w:r>
      <w:r>
        <w:rPr>
          <w:rFonts w:ascii="Arial" w:hAnsi="Arial" w:cs="Arial"/>
          <w:color w:val="auto"/>
          <w:sz w:val="21"/>
          <w:szCs w:val="21"/>
          <w:highlight w:val="none"/>
          <w:u w:val="single"/>
        </w:rPr>
        <w:t xml:space="preserve">(投标人名称)</w:t>
      </w:r>
      <w:r>
        <w:rPr>
          <w:rFonts w:ascii="Arial" w:hAnsi="Arial" w:cs="Arial"/>
          <w:color w:val="auto"/>
          <w:sz w:val="21"/>
          <w:szCs w:val="21"/>
          <w:highlight w:val="none"/>
        </w:rPr>
        <w:t xml:space="preserve">______，中华人民共和国合法企业，法定地址：____________________。在参与</w:t>
      </w:r>
      <w:r>
        <w:rPr>
          <w:rFonts w:hint="eastAsia" w:ascii="Arial" w:hAnsi="Arial" w:cs="Arial"/>
          <w:color w:val="auto"/>
          <w:sz w:val="21"/>
          <w:szCs w:val="21"/>
          <w:highlight w:val="none"/>
          <w:u w:val="single"/>
          <w:lang w:eastAsia="zh-CN"/>
        </w:rPr>
        <w:t xml:space="preserve">南京市鼓楼区电子政务外网升级改造项目</w:t>
      </w:r>
      <w:r>
        <w:rPr>
          <w:rFonts w:ascii="Arial" w:hAnsi="Arial" w:cs="Arial"/>
          <w:color w:val="auto"/>
          <w:sz w:val="21"/>
          <w:szCs w:val="21"/>
          <w:highlight w:val="none"/>
          <w:u w:val="single"/>
        </w:rPr>
        <w:t xml:space="preserve">（项目名称）（项目编号：JSZC-</w:t>
      </w:r>
      <w:r>
        <w:rPr>
          <w:rFonts w:hint="eastAsia" w:ascii="Arial" w:hAnsi="Arial" w:cs="Arial"/>
          <w:color w:val="auto"/>
          <w:sz w:val="21"/>
          <w:szCs w:val="21"/>
          <w:highlight w:val="none"/>
          <w:u w:val="single"/>
          <w:lang w:eastAsia="zh-CN"/>
        </w:rPr>
        <w:t xml:space="preserve"> </w:t>
      </w:r>
      <w:r>
        <w:rPr>
          <w:rFonts w:ascii="Arial" w:hAnsi="Arial" w:cs="Arial"/>
          <w:color w:val="auto"/>
          <w:sz w:val="21"/>
          <w:szCs w:val="21"/>
          <w:highlight w:val="none"/>
          <w:u w:val="single"/>
        </w:rPr>
        <w:t xml:space="preserve">）</w:t>
      </w:r>
      <w:r>
        <w:rPr>
          <w:rFonts w:ascii="Arial" w:hAnsi="Arial" w:cs="Arial"/>
          <w:color w:val="auto"/>
          <w:sz w:val="21"/>
          <w:szCs w:val="21"/>
          <w:highlight w:val="none"/>
        </w:rPr>
        <w:t xml:space="preserve">协商活动中，我单位授权</w:t>
      </w:r>
      <w:r>
        <w:rPr>
          <w:rFonts w:ascii="Arial" w:hAnsi="Arial" w:cs="Arial"/>
          <w:color w:val="auto"/>
          <w:sz w:val="21"/>
          <w:szCs w:val="21"/>
          <w:highlight w:val="none"/>
          <w:u w:val="single"/>
        </w:rPr>
        <w:t xml:space="preserve">（其他形式的印章名称）     </w:t>
      </w:r>
      <w:r>
        <w:rPr>
          <w:rFonts w:ascii="Arial" w:hAnsi="Arial" w:cs="Arial"/>
          <w:color w:val="auto"/>
          <w:sz w:val="21"/>
          <w:szCs w:val="21"/>
          <w:highlight w:val="none"/>
        </w:rPr>
        <w:t xml:space="preserve">（样式附后）在此次活动中代为公章使用。</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u w:val="single"/>
        </w:rPr>
        <w:t xml:space="preserve">（其他形式的印章名称）   </w:t>
      </w:r>
      <w:r>
        <w:rPr>
          <w:rFonts w:ascii="Arial" w:hAnsi="Arial" w:cs="Arial"/>
          <w:color w:val="auto"/>
          <w:sz w:val="21"/>
          <w:szCs w:val="21"/>
          <w:highlight w:val="none"/>
        </w:rPr>
        <w:t xml:space="preserve">所签署的投标文件、澄清等，我单位承认并同意具备与我单位公章签署等同的法律效力。</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u w:val="single"/>
        </w:rPr>
        <w:t xml:space="preserve">（其他形式的印章名称）     </w:t>
      </w:r>
      <w:r>
        <w:rPr>
          <w:rFonts w:ascii="Arial" w:hAnsi="Arial" w:cs="Arial"/>
          <w:color w:val="auto"/>
          <w:sz w:val="21"/>
          <w:szCs w:val="21"/>
          <w:highlight w:val="none"/>
        </w:rPr>
        <w:t xml:space="preserve">签署的所有文件、协议不因授权的撤销而失效。</w:t>
      </w:r>
      <w:r/>
    </w:p>
    <w:p>
      <w:pPr>
        <w:pStyle w:val="972"/>
        <w:ind w:right="840" w:firstLine="0"/>
        <w:rPr>
          <w:rFonts w:ascii="Arial" w:hAnsi="Arial" w:cs="Arial"/>
          <w:color w:val="auto"/>
          <w:sz w:val="21"/>
          <w:szCs w:val="21"/>
          <w:highlight w:val="none"/>
        </w:rPr>
      </w:pPr>
      <w:r>
        <w:rPr>
          <w:rFonts w:ascii="Arial" w:hAnsi="Arial" w:cs="Arial"/>
          <w:color w:val="auto"/>
          <w:sz w:val="21"/>
          <w:szCs w:val="21"/>
          <w:highlight w:val="none"/>
        </w:rPr>
      </w:r>
      <w:r/>
    </w:p>
    <w:p>
      <w:pPr>
        <w:pStyle w:val="972"/>
        <w:ind w:right="840" w:firstLine="199"/>
        <w:rPr>
          <w:rFonts w:ascii="Arial" w:hAnsi="Arial" w:cs="Arial"/>
          <w:color w:val="auto"/>
          <w:sz w:val="21"/>
          <w:szCs w:val="21"/>
          <w:highlight w:val="none"/>
        </w:rPr>
      </w:pPr>
      <w:r>
        <w:rPr>
          <w:rFonts w:ascii="Arial" w:hAnsi="Arial" w:cs="Arial"/>
          <w:color w:val="auto"/>
          <w:sz w:val="21"/>
          <w:szCs w:val="21"/>
          <w:highlight w:val="none"/>
        </w:rPr>
        <w:t xml:space="preserve">其他形式的印章名称：______________</w:t>
      </w:r>
      <w:r/>
    </w:p>
    <w:p>
      <w:pPr>
        <w:pStyle w:val="972"/>
        <w:ind w:right="420" w:firstLine="190"/>
        <w:rPr>
          <w:rFonts w:ascii="Arial" w:hAnsi="Arial" w:cs="Arial"/>
          <w:color w:val="auto"/>
          <w:sz w:val="21"/>
          <w:szCs w:val="21"/>
          <w:highlight w:val="none"/>
        </w:rPr>
      </w:pPr>
      <w:r>
        <w:rPr>
          <w:rFonts w:ascii="Arial" w:hAnsi="Arial" w:cs="Arial"/>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4"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ascii="Arial" w:hAnsi="Arial" w:cs="Arial"/>
          <w:color w:val="auto"/>
          <w:sz w:val="21"/>
          <w:szCs w:val="21"/>
          <w:highlight w:val="none"/>
        </w:rPr>
        <w:t xml:space="preserve">印章样式：</w:t>
      </w:r>
      <w:r/>
    </w:p>
    <w:p>
      <w:pPr>
        <w:pStyle w:val="972"/>
        <w:ind w:right="420" w:firstLine="4819"/>
        <w:rPr>
          <w:rFonts w:ascii="Arial" w:hAnsi="Arial" w:cs="Arial"/>
          <w:color w:val="auto"/>
          <w:sz w:val="21"/>
          <w:szCs w:val="21"/>
          <w:highlight w:val="none"/>
        </w:rPr>
      </w:pPr>
      <w:r>
        <w:rPr>
          <w:rFonts w:ascii="Arial" w:hAnsi="Arial" w:cs="Arial"/>
          <w:color w:val="auto"/>
          <w:sz w:val="21"/>
          <w:szCs w:val="21"/>
          <w:highlight w:val="none"/>
        </w:rPr>
      </w:r>
      <w:r/>
    </w:p>
    <w:p>
      <w:pPr>
        <w:pStyle w:val="972"/>
        <w:ind w:right="420" w:firstLine="3150"/>
        <w:jc w:val="left"/>
        <w:spacing w:line="276" w:lineRule="auto"/>
        <w:rPr>
          <w:rFonts w:ascii="Arial" w:hAnsi="Arial" w:cs="Arial"/>
          <w:color w:val="auto"/>
          <w:sz w:val="21"/>
          <w:szCs w:val="21"/>
          <w:highlight w:val="none"/>
        </w:rPr>
      </w:pPr>
      <w:r>
        <w:rPr>
          <w:rFonts w:ascii="Arial" w:hAnsi="Arial" w:cs="Arial"/>
          <w:color w:val="auto"/>
          <w:sz w:val="21"/>
          <w:szCs w:val="21"/>
          <w:highlight w:val="none"/>
        </w:rPr>
      </w:r>
      <w:r/>
    </w:p>
    <w:p>
      <w:pPr>
        <w:pStyle w:val="972"/>
        <w:ind w:right="420" w:firstLine="0"/>
        <w:jc w:val="left"/>
        <w:spacing w:line="276" w:lineRule="auto"/>
        <w:rPr>
          <w:rFonts w:ascii="Arial" w:hAnsi="Arial" w:cs="Arial"/>
          <w:color w:val="auto"/>
          <w:sz w:val="21"/>
          <w:szCs w:val="21"/>
          <w:highlight w:val="none"/>
        </w:rPr>
      </w:pPr>
      <w:r>
        <w:rPr>
          <w:rFonts w:ascii="Arial" w:hAnsi="Arial" w:cs="Arial"/>
          <w:color w:val="auto"/>
          <w:sz w:val="21"/>
          <w:szCs w:val="21"/>
          <w:highlight w:val="none"/>
        </w:rPr>
      </w:r>
      <w:r/>
    </w:p>
    <w:p>
      <w:pPr>
        <w:pStyle w:val="972"/>
        <w:ind w:right="420" w:firstLine="0"/>
        <w:jc w:val="left"/>
        <w:spacing w:line="276" w:lineRule="auto"/>
        <w:rPr>
          <w:rFonts w:ascii="Arial" w:hAnsi="Arial" w:cs="Arial"/>
          <w:color w:val="auto"/>
          <w:sz w:val="21"/>
          <w:szCs w:val="21"/>
          <w:highlight w:val="none"/>
        </w:rPr>
      </w:pPr>
      <w:r>
        <w:rPr>
          <w:rFonts w:ascii="Arial" w:hAnsi="Arial" w:cs="Arial"/>
          <w:color w:val="auto"/>
          <w:sz w:val="21"/>
          <w:szCs w:val="21"/>
          <w:highlight w:val="none"/>
        </w:rPr>
      </w:r>
      <w:r/>
    </w:p>
    <w:p>
      <w:pPr>
        <w:pStyle w:val="972"/>
        <w:ind w:right="420" w:firstLine="3150"/>
        <w:jc w:val="left"/>
        <w:spacing w:line="276" w:lineRule="auto"/>
        <w:rPr>
          <w:rFonts w:ascii="Arial" w:hAnsi="Arial" w:cs="Arial"/>
          <w:color w:val="auto"/>
          <w:sz w:val="21"/>
          <w:szCs w:val="21"/>
          <w:highlight w:val="none"/>
          <w:u w:val="single"/>
        </w:rPr>
      </w:pPr>
      <w:r>
        <w:rPr>
          <w:rFonts w:ascii="Arial" w:hAnsi="Arial" w:cs="Arial"/>
          <w:color w:val="auto"/>
          <w:sz w:val="21"/>
          <w:szCs w:val="21"/>
          <w:highlight w:val="none"/>
        </w:rPr>
        <w:t xml:space="preserve">投标人名称</w:t>
      </w:r>
      <w:r>
        <w:rPr>
          <w:rFonts w:hint="eastAsia" w:ascii="Arial" w:hAnsi="Arial" w:cs="Arial"/>
          <w:color w:val="auto"/>
          <w:sz w:val="21"/>
          <w:szCs w:val="21"/>
          <w:highlight w:val="none"/>
          <w:lang w:eastAsia="zh-CN"/>
        </w:rPr>
        <w:t xml:space="preserve">（加盖电子公章）</w:t>
      </w:r>
      <w:r>
        <w:rPr>
          <w:rFonts w:ascii="Arial" w:hAnsi="Arial" w:cs="Arial"/>
          <w:color w:val="auto"/>
          <w:sz w:val="21"/>
          <w:szCs w:val="21"/>
          <w:highlight w:val="none"/>
        </w:rPr>
        <w:t xml:space="preserve">：</w:t>
      </w:r>
      <w:r/>
    </w:p>
    <w:p>
      <w:pPr>
        <w:pStyle w:val="972"/>
        <w:ind w:right="420" w:firstLine="3150"/>
        <w:jc w:val="left"/>
        <w:spacing w:line="276" w:lineRule="auto"/>
        <w:rPr>
          <w:rFonts w:ascii="Arial" w:hAnsi="Arial" w:cs="Arial"/>
          <w:color w:val="auto"/>
          <w:sz w:val="21"/>
          <w:szCs w:val="21"/>
          <w:highlight w:val="none"/>
        </w:rPr>
      </w:pPr>
      <w:r>
        <w:rPr>
          <w:rFonts w:ascii="Arial" w:hAnsi="Arial" w:cs="Arial"/>
          <w:color w:val="auto"/>
          <w:sz w:val="21"/>
          <w:szCs w:val="21"/>
          <w:highlight w:val="none"/>
        </w:rPr>
      </w:r>
      <w:r/>
    </w:p>
    <w:p>
      <w:pPr>
        <w:ind w:firstLine="3158"/>
        <w:jc w:val="left"/>
        <w:spacing w:line="276" w:lineRule="auto"/>
        <w:rPr>
          <w:rFonts w:ascii="Arial" w:hAnsi="Arial" w:cs="Arial"/>
          <w:bCs/>
          <w:color w:val="auto"/>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Arial" w:hAnsi="Arial" w:cs="Arial"/>
          <w:bCs/>
          <w:color w:val="auto"/>
          <w:highlight w:val="none"/>
        </w:rPr>
        <w:t xml:space="preserve">日期：______年______月______日</w:t>
      </w:r>
      <w:r/>
    </w:p>
    <w:p>
      <w:pPr>
        <w:rPr>
          <w:rFonts w:hint="default" w:ascii="Arial" w:hAnsi="Arial" w:eastAsia="宋体" w:cs="Arial"/>
          <w:b/>
          <w:bCs/>
          <w:color w:val="auto"/>
          <w:sz w:val="24"/>
          <w:szCs w:val="24"/>
          <w:highlight w:val="none"/>
        </w:rPr>
      </w:pPr>
      <w:r/>
      <w:bookmarkStart w:id="330" w:name="_Toc104560916"/>
      <w:r/>
      <w:bookmarkStart w:id="331" w:name="_Toc107246299"/>
      <w:r/>
      <w:bookmarkStart w:id="332" w:name="_Toc103848599"/>
      <w:r>
        <w:rPr>
          <w:rFonts w:hint="eastAsia" w:ascii="Arial" w:hAnsi="Arial" w:eastAsia="宋体" w:cs="Arial"/>
          <w:b/>
          <w:bCs/>
          <w:color w:val="auto"/>
          <w:sz w:val="24"/>
          <w:szCs w:val="24"/>
          <w:highlight w:val="none"/>
          <w:lang w:eastAsia="zh-CN"/>
        </w:rPr>
        <w:t xml:space="preserve">（</w:t>
      </w:r>
      <w:r>
        <w:rPr>
          <w:rFonts w:hint="eastAsia" w:ascii="Arial" w:hAnsi="Arial" w:eastAsia="宋体" w:cs="Arial"/>
          <w:b/>
          <w:bCs/>
          <w:color w:val="auto"/>
          <w:sz w:val="24"/>
          <w:szCs w:val="24"/>
          <w:highlight w:val="none"/>
          <w:lang w:val="en-US" w:eastAsia="zh-CN"/>
        </w:rPr>
        <w:t xml:space="preserve">10）</w:t>
      </w:r>
      <w:r>
        <w:rPr>
          <w:rFonts w:hint="eastAsia" w:ascii="Arial" w:hAnsi="Arial" w:eastAsia="宋体" w:cs="Arial"/>
          <w:b/>
          <w:bCs/>
          <w:color w:val="auto"/>
          <w:sz w:val="24"/>
          <w:szCs w:val="24"/>
          <w:highlight w:val="none"/>
        </w:rPr>
        <w:t xml:space="preserve">招标文件资格证明部分其他需要补充的内容</w:t>
      </w:r>
      <w:r/>
    </w:p>
    <w:p>
      <w:pPr>
        <w:rPr>
          <w:rFonts w:ascii="Arial" w:hAnsi="Arial" w:cs="Arial"/>
          <w:color w:val="auto"/>
          <w:sz w:val="28"/>
          <w:szCs w:val="24"/>
          <w:highlight w:val="none"/>
        </w:rPr>
      </w:pPr>
      <w:r>
        <w:rPr>
          <w:rFonts w:ascii="Arial" w:hAnsi="Arial" w:cs="Arial"/>
          <w:color w:val="auto"/>
          <w:sz w:val="28"/>
          <w:szCs w:val="24"/>
          <w:highlight w:val="none"/>
        </w:rPr>
        <w:br w:type="page" w:clear="all"/>
      </w:r>
      <w:r/>
    </w:p>
    <w:p>
      <w:pPr>
        <w:pStyle w:val="738"/>
        <w:ind w:left="601" w:firstLine="498"/>
        <w:spacing w:before="0"/>
        <w:rPr>
          <w:rFonts w:ascii="Arial" w:hAnsi="Arial" w:cs="Arial"/>
          <w:color w:val="auto"/>
          <w:sz w:val="28"/>
          <w:szCs w:val="24"/>
          <w:highlight w:val="none"/>
        </w:rPr>
      </w:pPr>
      <w:r>
        <w:rPr>
          <w:rFonts w:ascii="Arial" w:hAnsi="Arial" w:cs="Arial"/>
          <w:color w:val="auto"/>
          <w:sz w:val="28"/>
          <w:szCs w:val="24"/>
          <w:highlight w:val="none"/>
        </w:rPr>
        <w:t xml:space="preserve">二、技术部分</w:t>
      </w:r>
      <w:bookmarkEnd w:id="330"/>
      <w:r/>
      <w:bookmarkEnd w:id="331"/>
      <w:r/>
      <w:bookmarkEnd w:id="332"/>
      <w:r/>
      <w:r/>
    </w:p>
    <w:p>
      <w:pPr>
        <w:pStyle w:val="738"/>
        <w:ind w:firstLine="426"/>
        <w:spacing w:before="0"/>
        <w:rPr>
          <w:rFonts w:ascii="Arial" w:hAnsi="Arial" w:cs="Arial"/>
          <w:bCs w:val="0"/>
          <w:color w:val="auto"/>
          <w:sz w:val="24"/>
          <w:szCs w:val="24"/>
          <w:highlight w:val="none"/>
        </w:rPr>
      </w:pPr>
      <w:r/>
      <w:bookmarkStart w:id="333" w:name="_Toc103848601"/>
      <w:r/>
      <w:bookmarkStart w:id="334" w:name="_Toc104560918"/>
      <w:r/>
      <w:bookmarkStart w:id="335" w:name="_Toc107246301"/>
      <w:r>
        <w:rPr>
          <w:rFonts w:ascii="Arial" w:hAnsi="Arial" w:cs="Arial"/>
          <w:bCs w:val="0"/>
          <w:color w:val="auto"/>
          <w:sz w:val="24"/>
          <w:szCs w:val="24"/>
          <w:highlight w:val="none"/>
        </w:rPr>
        <w:t xml:space="preserve">（1）技术条款偏离表</w:t>
      </w:r>
      <w:bookmarkEnd w:id="333"/>
      <w:r/>
      <w:bookmarkEnd w:id="334"/>
      <w:r/>
      <w:bookmarkEnd w:id="335"/>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项目名称：</w:t>
      </w:r>
      <w:r>
        <w:rPr>
          <w:rFonts w:hint="eastAsia" w:ascii="Arial" w:hAnsi="Arial" w:cs="Arial"/>
          <w:color w:val="auto"/>
          <w:sz w:val="21"/>
          <w:szCs w:val="21"/>
          <w:highlight w:val="none"/>
          <w:lang w:eastAsia="zh-CN"/>
        </w:rPr>
        <w:t xml:space="preserve">南京市鼓楼区电子政务外网升级改造项目</w:t>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p>
    <w:p>
      <w:pPr>
        <w:pStyle w:val="972"/>
        <w:ind w:firstLine="420"/>
        <w:rPr>
          <w:rFonts w:hint="eastAsia" w:ascii="Arial" w:hAnsi="Arial" w:eastAsia="宋体" w:cs="Arial"/>
          <w:color w:val="auto"/>
          <w:sz w:val="21"/>
          <w:szCs w:val="21"/>
          <w:highlight w:val="none"/>
          <w:lang w:eastAsia="zh-CN"/>
        </w:rPr>
      </w:pPr>
      <w:r>
        <w:rPr>
          <w:rFonts w:ascii="Arial" w:hAnsi="Arial" w:cs="Arial"/>
          <w:color w:val="auto"/>
          <w:sz w:val="21"/>
          <w:szCs w:val="21"/>
          <w:highlight w:val="none"/>
        </w:rPr>
        <w:t xml:space="preserve">项目编号：</w:t>
      </w:r>
      <w:r>
        <w:rPr>
          <w:color w:val="auto"/>
          <w:highlight w:val="none"/>
        </w:rPr>
        <w:t xml:space="preserve"> </w:t>
      </w:r>
      <w:r>
        <w:rPr>
          <w:rFonts w:hint="eastAsia" w:ascii="Arial" w:hAnsi="Arial" w:cs="Arial"/>
          <w:color w:val="auto"/>
          <w:sz w:val="21"/>
          <w:szCs w:val="21"/>
          <w:highlight w:val="none"/>
          <w:lang w:eastAsia="zh-CN"/>
        </w:rPr>
        <w:t xml:space="preserve"> </w:t>
      </w:r>
      <w:r/>
    </w:p>
    <w:tbl>
      <w:tblPr>
        <w:tblStyle w:val="70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696"/>
        <w:gridCol w:w="1348"/>
        <w:gridCol w:w="1580"/>
        <w:gridCol w:w="1484"/>
        <w:gridCol w:w="947"/>
      </w:tblGrid>
      <w:tr>
        <w:trPr>
          <w:jc w:val="center"/>
          <w:trHeight w:val="635"/>
        </w:trPr>
        <w:tc>
          <w:tcPr>
            <w:tcW w:w="439"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序号</w:t>
            </w:r>
            <w:r/>
          </w:p>
        </w:tc>
        <w:tc>
          <w:tcPr>
            <w:tcW w:w="1526"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招标文件的技术条款</w:t>
            </w:r>
            <w:r/>
          </w:p>
        </w:tc>
        <w:tc>
          <w:tcPr>
            <w:tcW w:w="763"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是否偏离</w:t>
            </w:r>
            <w:r/>
          </w:p>
        </w:tc>
        <w:tc>
          <w:tcPr>
            <w:tcW w:w="894"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偏离说明</w:t>
            </w:r>
            <w:r/>
          </w:p>
        </w:tc>
        <w:tc>
          <w:tcPr>
            <w:tcW w:w="840"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投标文件响应页码</w:t>
            </w:r>
            <w:r/>
          </w:p>
        </w:tc>
        <w:tc>
          <w:tcPr>
            <w:tcW w:w="536" w:type="pct"/>
            <w:vAlign w:val="center"/>
            <w:textDirection w:val="lrTb"/>
            <w:noWrap w:val="false"/>
          </w:tcPr>
          <w:p>
            <w:pPr>
              <w:pStyle w:val="972"/>
              <w:ind w:firstLine="0"/>
              <w:jc w:val="center"/>
              <w:spacing w:line="240" w:lineRule="auto"/>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jc w:val="center"/>
          <w:trHeight w:val="570"/>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81"/>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90"/>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714"/>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682"/>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707"/>
        </w:trPr>
        <w:tc>
          <w:tcPr>
            <w:tcW w:w="439"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152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763" w:type="pct"/>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94"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840"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c>
          <w:tcPr>
            <w:tcW w:w="536" w:type="pct"/>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r>
            <w:r/>
          </w:p>
        </w:tc>
      </w:tr>
    </w:tbl>
    <w:p>
      <w:pPr>
        <w:pStyle w:val="736"/>
        <w:ind w:firstLine="373"/>
        <w:spacing w:line="360" w:lineRule="exact"/>
        <w:rPr>
          <w:rFonts w:ascii="Arial" w:hAnsi="Arial" w:cs="Arial"/>
          <w:b/>
          <w:bCs/>
          <w:color w:val="auto"/>
          <w:highlight w:val="none"/>
        </w:rPr>
      </w:pPr>
      <w:r>
        <w:rPr>
          <w:rFonts w:ascii="Arial" w:hAnsi="Arial" w:cs="Arial"/>
          <w:b/>
          <w:bCs/>
          <w:color w:val="auto"/>
          <w:highlight w:val="none"/>
        </w:rPr>
      </w:r>
      <w:r/>
    </w:p>
    <w:p>
      <w:pPr>
        <w:pStyle w:val="736"/>
        <w:ind w:firstLine="373"/>
        <w:spacing w:line="360" w:lineRule="exact"/>
        <w:rPr>
          <w:rFonts w:ascii="Arial" w:hAnsi="Arial" w:cs="Arial"/>
          <w:b/>
          <w:bCs/>
          <w:color w:val="auto"/>
          <w:highlight w:val="none"/>
        </w:rPr>
      </w:pPr>
      <w:r>
        <w:rPr>
          <w:rFonts w:hint="eastAsia" w:ascii="Arial" w:hAnsi="Arial" w:cs="Arial"/>
          <w:b w:val="0"/>
          <w:bCs w:val="0"/>
          <w:color w:val="auto"/>
          <w:highlight w:val="none"/>
        </w:rPr>
        <w:t xml:space="preserve">投标人全称（投标人CA公章）：</w:t>
      </w:r>
      <w:r>
        <w:rPr>
          <w:rFonts w:hint="eastAsia" w:ascii="Arial" w:hAnsi="Arial" w:cs="Arial"/>
          <w:b w:val="0"/>
          <w:bCs w:val="0"/>
          <w:color w:val="auto"/>
          <w:highlight w:val="none"/>
          <w:u w:val="single"/>
          <w:lang w:val="en-US" w:eastAsia="zh-CN"/>
        </w:rPr>
        <w:t xml:space="preserve">                 </w:t>
      </w:r>
      <w:r>
        <w:rPr>
          <w:rFonts w:hint="eastAsia" w:ascii="Arial" w:hAnsi="Arial" w:cs="Arial"/>
          <w:b w:val="0"/>
          <w:bCs w:val="0"/>
          <w:color w:val="auto"/>
          <w:highlight w:val="none"/>
          <w:u w:val="single"/>
        </w:rPr>
        <w:t xml:space="preserve">   </w:t>
      </w:r>
      <w:r>
        <w:rPr>
          <w:rFonts w:hint="eastAsia" w:ascii="Arial" w:hAnsi="Arial" w:cs="Arial"/>
          <w:b w:val="0"/>
          <w:bCs w:val="0"/>
          <w:color w:val="auto"/>
          <w:highlight w:val="none"/>
        </w:rPr>
        <w:t xml:space="preserve">       </w:t>
      </w:r>
      <w:r/>
    </w:p>
    <w:p>
      <w:pPr>
        <w:pStyle w:val="715"/>
        <w:ind w:firstLine="372"/>
        <w:rPr>
          <w:rFonts w:ascii="Arial" w:hAnsi="Arial" w:cs="Arial"/>
          <w:bCs/>
          <w:color w:val="auto"/>
          <w:sz w:val="24"/>
          <w:highlight w:val="none"/>
        </w:rPr>
      </w:pPr>
      <w:r>
        <w:rPr>
          <w:rFonts w:ascii="Arial" w:hAnsi="Arial" w:cs="Arial"/>
          <w:bCs/>
          <w:color w:val="auto"/>
          <w:sz w:val="24"/>
          <w:highlight w:val="none"/>
        </w:rPr>
      </w:r>
      <w:r/>
    </w:p>
    <w:p>
      <w:pPr>
        <w:pStyle w:val="715"/>
        <w:ind w:firstLine="372"/>
        <w:rPr>
          <w:rFonts w:hint="eastAsia" w:ascii="Arial" w:hAnsi="Arial" w:cs="Arial"/>
          <w:bCs/>
          <w:color w:val="auto"/>
          <w:sz w:val="24"/>
          <w:highlight w:val="none"/>
        </w:rPr>
      </w:pPr>
      <w:r>
        <w:rPr>
          <w:rFonts w:hint="eastAsia" w:ascii="Arial" w:hAnsi="Arial" w:cs="Arial"/>
          <w:bCs/>
          <w:color w:val="auto"/>
          <w:sz w:val="24"/>
          <w:highlight w:val="none"/>
        </w:rPr>
        <w:t xml:space="preserve">备注：</w:t>
      </w:r>
      <w:r/>
    </w:p>
    <w:p>
      <w:pPr>
        <w:pStyle w:val="715"/>
        <w:ind w:firstLine="372"/>
        <w:rPr>
          <w:rFonts w:hint="eastAsia" w:ascii="Arial" w:hAnsi="Arial" w:cs="Arial"/>
          <w:bCs/>
          <w:color w:val="auto"/>
          <w:sz w:val="24"/>
          <w:highlight w:val="none"/>
        </w:rPr>
      </w:pPr>
      <w:r>
        <w:rPr>
          <w:rFonts w:hint="eastAsia" w:ascii="Arial" w:hAnsi="Arial" w:cs="Arial"/>
          <w:bCs/>
          <w:color w:val="auto"/>
          <w:sz w:val="24"/>
          <w:highlight w:val="none"/>
        </w:rPr>
        <w:t xml:space="preserve">1.供应商须对招标文件技术要求中的实质性要求（斜体下划线内容或打“★ ”内容）及其 他要求做出明确响应，否则视为无效投标。</w:t>
      </w:r>
      <w:r/>
    </w:p>
    <w:p>
      <w:pPr>
        <w:pStyle w:val="715"/>
        <w:ind w:firstLine="372"/>
        <w:rPr>
          <w:rFonts w:hint="eastAsia" w:ascii="Arial" w:hAnsi="Arial" w:cs="Arial"/>
          <w:bCs/>
          <w:color w:val="auto"/>
          <w:sz w:val="24"/>
          <w:highlight w:val="none"/>
        </w:rPr>
      </w:pPr>
      <w:r>
        <w:rPr>
          <w:rFonts w:hint="eastAsia" w:ascii="Arial" w:hAnsi="Arial" w:cs="Arial"/>
          <w:bCs/>
          <w:color w:val="auto"/>
          <w:sz w:val="24"/>
          <w:highlight w:val="none"/>
        </w:rPr>
        <w:t xml:space="preserve">2.技术要求中实质性要求及其他要求明确需要提供证明材料的，签订合同时中标供应商应 按招标文件要求和投标文件响应内容提供相应证明材料供采购人核验（如：白皮书、彩页、手 册、网站截图、具有 CMA 标识的检测报告等），另有约定的除外。中标供应商未按招标文件要 求和投标文件响应内容提供或者提供的证明材料不符合要求的，视为提供虚假材料谋取中标， 采购人将取消其中标资格。</w:t>
      </w:r>
      <w:r/>
    </w:p>
    <w:p>
      <w:pPr>
        <w:pStyle w:val="715"/>
        <w:ind w:firstLine="372"/>
        <w:rPr>
          <w:rFonts w:ascii="Arial" w:hAnsi="Arial" w:cs="Arial"/>
          <w:color w:val="auto"/>
          <w:highlight w:val="none"/>
        </w:rPr>
      </w:pPr>
      <w:r>
        <w:rPr>
          <w:rFonts w:hint="eastAsia" w:ascii="Arial" w:hAnsi="Arial" w:cs="Arial"/>
          <w:bCs/>
          <w:color w:val="auto"/>
          <w:sz w:val="24"/>
          <w:highlight w:val="none"/>
        </w:rPr>
        <w:t xml:space="preserve">3.行数不够，可自行添加。</w:t>
      </w:r>
      <w:r>
        <w:rPr>
          <w:rFonts w:ascii="Arial" w:hAnsi="Arial" w:cs="Arial"/>
          <w:bCs/>
          <w:color w:val="auto"/>
          <w:sz w:val="24"/>
          <w:highlight w:val="none"/>
        </w:rPr>
        <w:br w:type="page" w:clear="all"/>
      </w:r>
      <w:r/>
    </w:p>
    <w:p>
      <w:pPr>
        <w:pStyle w:val="738"/>
        <w:ind w:firstLine="426"/>
        <w:jc w:val="both"/>
        <w:spacing w:before="0"/>
        <w:rPr>
          <w:rFonts w:ascii="Arial" w:hAnsi="Arial" w:cs="Arial"/>
          <w:bCs w:val="0"/>
          <w:color w:val="auto"/>
          <w:sz w:val="24"/>
          <w:szCs w:val="24"/>
          <w:highlight w:val="none"/>
        </w:rPr>
      </w:pPr>
      <w:r>
        <w:rPr>
          <w:rFonts w:ascii="Arial" w:hAnsi="Arial" w:cs="Arial"/>
          <w:bCs w:val="0"/>
          <w:color w:val="auto"/>
          <w:sz w:val="24"/>
          <w:szCs w:val="24"/>
          <w:highlight w:val="none"/>
        </w:rPr>
        <w:t xml:space="preserve">（2）技术服务方案</w:t>
      </w:r>
      <w:r/>
    </w:p>
    <w:p>
      <w:pPr>
        <w:pStyle w:val="711"/>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t xml:space="preserve"> 格式自拟。</w:t>
      </w:r>
      <w:r/>
    </w:p>
    <w:p>
      <w:pPr>
        <w:pStyle w:val="972"/>
        <w:ind w:firstLine="400"/>
        <w:rPr>
          <w:rFonts w:ascii="Arial" w:hAnsi="Arial" w:cs="Arial"/>
          <w:color w:val="auto"/>
          <w:highlight w:val="none"/>
        </w:rPr>
      </w:pPr>
      <w:r>
        <w:rPr>
          <w:rFonts w:ascii="Arial" w:hAnsi="Arial" w:cs="Arial"/>
          <w:color w:val="auto"/>
          <w:highlight w:val="none"/>
        </w:rPr>
      </w:r>
      <w:r/>
    </w:p>
    <w:p>
      <w:pPr>
        <w:pStyle w:val="972"/>
        <w:ind w:firstLine="400"/>
        <w:rPr>
          <w:rFonts w:ascii="Arial" w:hAnsi="Arial" w:cs="Arial"/>
          <w:color w:val="auto"/>
          <w:highlight w:val="none"/>
        </w:rPr>
      </w:pPr>
      <w:r>
        <w:rPr>
          <w:rFonts w:ascii="Arial" w:hAnsi="Arial" w:cs="Arial"/>
          <w:color w:val="auto"/>
          <w:highlight w:val="none"/>
        </w:rPr>
      </w:r>
      <w:r/>
    </w:p>
    <w:p>
      <w:pPr>
        <w:pStyle w:val="738"/>
        <w:ind w:firstLine="569"/>
        <w:jc w:val="both"/>
        <w:spacing w:before="0" w:line="480" w:lineRule="auto"/>
        <w:rPr>
          <w:rFonts w:ascii="Arial" w:hAnsi="Arial" w:cs="Arial"/>
          <w:color w:val="auto"/>
          <w:highlight w:val="none"/>
        </w:rPr>
      </w:pPr>
      <w:r>
        <w:rPr>
          <w:rFonts w:ascii="Arial" w:hAnsi="Arial" w:cs="Arial"/>
          <w:color w:val="auto"/>
          <w:highlight w:val="none"/>
        </w:rPr>
        <w:br w:type="page" w:clear="all"/>
      </w:r>
      <w:bookmarkStart w:id="336" w:name="_Toc107246302"/>
      <w:r/>
      <w:bookmarkStart w:id="337" w:name="_Toc104560919"/>
      <w:r/>
      <w:bookmarkStart w:id="338" w:name="_Toc103848602"/>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3</w:t>
      </w:r>
      <w:r>
        <w:rPr>
          <w:rFonts w:ascii="Arial" w:hAnsi="Arial" w:cs="Arial"/>
          <w:bCs w:val="0"/>
          <w:color w:val="auto"/>
          <w:sz w:val="24"/>
          <w:szCs w:val="24"/>
          <w:highlight w:val="none"/>
        </w:rPr>
        <w:t xml:space="preserve">）</w:t>
      </w:r>
      <w:bookmarkEnd w:id="336"/>
      <w:r/>
      <w:bookmarkEnd w:id="337"/>
      <w:r/>
      <w:bookmarkEnd w:id="338"/>
      <w:r/>
      <w:bookmarkStart w:id="339" w:name="_Toc103848603"/>
      <w:r/>
      <w:bookmarkStart w:id="340" w:name="_Toc107246303"/>
      <w:r/>
      <w:bookmarkStart w:id="341" w:name="_Toc104560920"/>
      <w:r>
        <w:rPr>
          <w:rFonts w:ascii="Arial" w:hAnsi="Arial" w:cs="Arial"/>
          <w:bCs w:val="0"/>
          <w:color w:val="auto"/>
          <w:sz w:val="24"/>
          <w:szCs w:val="24"/>
          <w:highlight w:val="none"/>
        </w:rPr>
        <w:t xml:space="preserve">用于本项目人员简历表</w:t>
      </w:r>
      <w:bookmarkEnd w:id="339"/>
      <w:r/>
      <w:bookmarkEnd w:id="340"/>
      <w:r/>
      <w:bookmarkEnd w:id="341"/>
      <w:r/>
      <w:r/>
    </w:p>
    <w:tbl>
      <w:tblPr>
        <w:tblStyle w:val="70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姓名</w:t>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性别</w:t>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职务</w:t>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职称</w:t>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t xml:space="preserve">毕业学校、专业</w:t>
            </w:r>
            <w:r/>
          </w:p>
        </w:tc>
        <w:tc>
          <w:tcPr>
            <w:gridSpan w:val="3"/>
            <w:tcW w:w="5808"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身份证号</w:t>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拟在本项目任职</w:t>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执业资格证</w:t>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执业资格证书号</w:t>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gridSpan w:val="4"/>
            <w:tcW w:w="8304"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时间</w:t>
            </w:r>
            <w:r/>
          </w:p>
        </w:tc>
        <w:tc>
          <w:tcPr>
            <w:tcW w:w="165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类似项目名称</w:t>
            </w:r>
            <w:r/>
          </w:p>
        </w:tc>
        <w:tc>
          <w:tcPr>
            <w:tcW w:w="186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担任职务</w:t>
            </w:r>
            <w:r/>
          </w:p>
        </w:tc>
        <w:tc>
          <w:tcPr>
            <w:tcW w:w="2286" w:type="dxa"/>
            <w:vAlign w:val="center"/>
            <w:textDirection w:val="lrTb"/>
            <w:noWrap w:val="false"/>
          </w:tcPr>
          <w:p>
            <w:pPr>
              <w:pStyle w:val="972"/>
              <w:ind w:firstLine="0"/>
              <w:jc w:val="center"/>
              <w:rPr>
                <w:rFonts w:ascii="Arial" w:hAnsi="Arial" w:cs="Arial"/>
                <w:color w:val="auto"/>
                <w:sz w:val="21"/>
                <w:szCs w:val="21"/>
                <w:highlight w:val="none"/>
              </w:rPr>
            </w:pPr>
            <w:r>
              <w:rPr>
                <w:rFonts w:ascii="Arial" w:hAnsi="Arial" w:cs="Arial"/>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r>
        <w:trPr>
          <w:jc w:val="center"/>
        </w:trPr>
        <w:tc>
          <w:tcPr>
            <w:tcW w:w="249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65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186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c>
          <w:tcPr>
            <w:tcW w:w="2286" w:type="dxa"/>
            <w:vAlign w:val="center"/>
            <w:textDirection w:val="lrTb"/>
            <w:noWrap w:val="false"/>
          </w:tcPr>
          <w:p>
            <w:pPr>
              <w:pStyle w:val="972"/>
              <w:ind w:firstLine="420"/>
              <w:jc w:val="center"/>
              <w:rPr>
                <w:rFonts w:ascii="Arial" w:hAnsi="Arial" w:cs="Arial"/>
                <w:color w:val="auto"/>
                <w:sz w:val="21"/>
                <w:szCs w:val="21"/>
                <w:highlight w:val="none"/>
              </w:rPr>
            </w:pPr>
            <w:r>
              <w:rPr>
                <w:rFonts w:ascii="Arial" w:hAnsi="Arial" w:cs="Arial"/>
                <w:color w:val="auto"/>
                <w:sz w:val="21"/>
                <w:szCs w:val="21"/>
                <w:highlight w:val="none"/>
              </w:rPr>
            </w:r>
            <w:r/>
          </w:p>
        </w:tc>
      </w:tr>
    </w:tbl>
    <w:p>
      <w:pPr>
        <w:pStyle w:val="972"/>
        <w:ind w:firstLine="400"/>
        <w:rPr>
          <w:rFonts w:ascii="Arial" w:hAnsi="Arial" w:cs="Arial"/>
          <w:color w:val="auto"/>
          <w:highlight w:val="none"/>
        </w:rPr>
      </w:pPr>
      <w:r>
        <w:rPr>
          <w:rFonts w:ascii="Arial" w:hAnsi="Arial" w:cs="Arial"/>
          <w:color w:val="auto"/>
          <w:highlight w:val="none"/>
        </w:rPr>
      </w:r>
      <w:r/>
    </w:p>
    <w:p>
      <w:pPr>
        <w:pStyle w:val="972"/>
        <w:ind w:firstLine="400"/>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br w:type="page" w:clear="all"/>
      </w:r>
      <w:r/>
    </w:p>
    <w:p>
      <w:pPr>
        <w:pStyle w:val="738"/>
        <w:ind w:firstLine="426"/>
        <w:jc w:val="both"/>
        <w:spacing w:before="0"/>
        <w:rPr>
          <w:rFonts w:ascii="Arial" w:hAnsi="Arial" w:cs="Arial"/>
          <w:bCs w:val="0"/>
          <w:color w:val="auto"/>
          <w:sz w:val="24"/>
          <w:szCs w:val="24"/>
          <w:highlight w:val="none"/>
        </w:rPr>
      </w:pPr>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4</w:t>
      </w:r>
      <w:r>
        <w:rPr>
          <w:rFonts w:ascii="Arial" w:hAnsi="Arial" w:cs="Arial"/>
          <w:bCs w:val="0"/>
          <w:color w:val="auto"/>
          <w:sz w:val="24"/>
          <w:szCs w:val="24"/>
          <w:highlight w:val="none"/>
        </w:rPr>
        <w:t xml:space="preserve">）拟投入本项目人员情况表</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项目名称：</w:t>
      </w:r>
      <w:r>
        <w:rPr>
          <w:rFonts w:hint="eastAsia" w:ascii="Arial" w:hAnsi="Arial" w:cs="Arial"/>
          <w:color w:val="auto"/>
          <w:sz w:val="21"/>
          <w:szCs w:val="21"/>
          <w:highlight w:val="none"/>
          <w:lang w:eastAsia="zh-CN"/>
        </w:rPr>
        <w:t xml:space="preserve">南京市鼓楼区电子政务外网升级改造项目</w:t>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rPr>
          <w:rFonts w:ascii="Arial" w:hAnsi="Arial" w:cs="Arial"/>
          <w:color w:val="auto"/>
          <w:sz w:val="21"/>
          <w:szCs w:val="21"/>
          <w:highlight w:val="none"/>
        </w:rPr>
        <w:tab/>
      </w:r>
      <w:r/>
    </w:p>
    <w:p>
      <w:pPr>
        <w:pStyle w:val="972"/>
        <w:ind w:firstLine="420"/>
        <w:rPr>
          <w:rFonts w:hint="eastAsia" w:ascii="Arial" w:hAnsi="Arial" w:eastAsia="宋体" w:cs="Arial"/>
          <w:color w:val="auto"/>
          <w:sz w:val="21"/>
          <w:szCs w:val="21"/>
          <w:highlight w:val="none"/>
          <w:lang w:eastAsia="zh-CN"/>
        </w:rPr>
      </w:pPr>
      <w:r>
        <w:rPr>
          <w:rFonts w:ascii="Arial" w:hAnsi="Arial" w:cs="Arial"/>
          <w:color w:val="auto"/>
          <w:sz w:val="21"/>
          <w:szCs w:val="21"/>
          <w:highlight w:val="none"/>
        </w:rPr>
        <w:t xml:space="preserve">项目编号：</w:t>
      </w:r>
      <w:r>
        <w:rPr>
          <w:rFonts w:hint="eastAsia" w:ascii="Arial" w:hAnsi="Arial" w:cs="Arial"/>
          <w:color w:val="auto"/>
          <w:sz w:val="21"/>
          <w:szCs w:val="21"/>
          <w:highlight w:val="none"/>
          <w:lang w:eastAsia="zh-CN"/>
        </w:rPr>
        <w:t xml:space="preserve"> </w:t>
      </w:r>
      <w:r/>
    </w:p>
    <w:tbl>
      <w:tblPr>
        <w:tblStyle w:val="70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序号</w:t>
            </w:r>
            <w:r/>
          </w:p>
        </w:tc>
        <w:tc>
          <w:tcPr>
            <w:tcW w:w="1488"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岗位</w:t>
            </w:r>
            <w:r/>
          </w:p>
        </w:tc>
        <w:tc>
          <w:tcPr>
            <w:tcW w:w="1627"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姓名</w:t>
            </w:r>
            <w:r/>
          </w:p>
        </w:tc>
        <w:tc>
          <w:tcPr>
            <w:tcW w:w="915"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年龄</w:t>
            </w:r>
            <w:r/>
          </w:p>
        </w:tc>
        <w:tc>
          <w:tcPr>
            <w:tcW w:w="1698"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职称/证书</w:t>
            </w:r>
            <w:r/>
          </w:p>
        </w:tc>
        <w:tc>
          <w:tcPr>
            <w:tcW w:w="1564" w:type="dxa"/>
            <w:vAlign w:val="center"/>
            <w:textDirection w:val="lrTb"/>
            <w:noWrap/>
          </w:tcPr>
          <w:p>
            <w:pPr>
              <w:jc w:val="center"/>
              <w:spacing w:line="360" w:lineRule="auto"/>
              <w:rPr>
                <w:rFonts w:ascii="Arial" w:hAnsi="Arial" w:cs="Arial"/>
                <w:color w:val="auto"/>
                <w:sz w:val="24"/>
                <w:highlight w:val="none"/>
              </w:rPr>
            </w:pPr>
            <w:r>
              <w:rPr>
                <w:rFonts w:ascii="Arial" w:hAnsi="Arial" w:cs="Arial"/>
                <w:color w:val="auto"/>
                <w:sz w:val="24"/>
                <w:highlight w:val="none"/>
              </w:rPr>
              <w:t xml:space="preserve">备注</w:t>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r>
        <w:trPr>
          <w:cantSplit/>
          <w:jc w:val="center"/>
          <w:trHeight w:val="495"/>
        </w:trPr>
        <w:tc>
          <w:tcPr>
            <w:tcW w:w="901" w:type="dxa"/>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48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27"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915"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698"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c>
          <w:tcPr>
            <w:tcW w:w="1564" w:type="dxa"/>
            <w:vAlign w:val="center"/>
            <w:textDirection w:val="lrTb"/>
            <w:noWrap/>
          </w:tcPr>
          <w:p>
            <w:pPr>
              <w:spacing w:line="360" w:lineRule="auto"/>
              <w:rPr>
                <w:rFonts w:ascii="Arial" w:hAnsi="Arial" w:cs="Arial"/>
                <w:color w:val="auto"/>
                <w:sz w:val="24"/>
                <w:highlight w:val="none"/>
              </w:rPr>
            </w:pPr>
            <w:r>
              <w:rPr>
                <w:rFonts w:ascii="Arial" w:hAnsi="Arial" w:cs="Arial"/>
                <w:color w:val="auto"/>
                <w:sz w:val="24"/>
                <w:highlight w:val="none"/>
              </w:rPr>
            </w:r>
            <w:r/>
          </w:p>
        </w:tc>
      </w:tr>
    </w:tbl>
    <w:p>
      <w:pPr>
        <w:ind w:firstLine="372"/>
        <w:rPr>
          <w:rFonts w:ascii="Arial" w:hAnsi="Arial" w:cs="Arial"/>
          <w:color w:val="auto"/>
          <w:highlight w:val="none"/>
        </w:rPr>
      </w:pPr>
      <w:r>
        <w:rPr>
          <w:rFonts w:ascii="Arial" w:hAnsi="Arial" w:cs="Arial"/>
          <w:color w:val="auto"/>
          <w:highlight w:val="none"/>
        </w:rPr>
        <w:br w:type="page" w:clear="all"/>
      </w:r>
      <w:bookmarkEnd w:id="271"/>
      <w:r/>
      <w:r/>
    </w:p>
    <w:p>
      <w:pPr>
        <w:ind w:firstLine="372"/>
        <w:rPr>
          <w:rFonts w:ascii="Arial" w:hAnsi="Arial" w:cs="Arial"/>
          <w:color w:val="auto"/>
          <w:highlight w:val="none"/>
        </w:rPr>
      </w:pPr>
      <w:r>
        <w:rPr>
          <w:rFonts w:ascii="Arial" w:hAnsi="Arial" w:cs="Arial"/>
          <w:color w:val="auto"/>
          <w:highlight w:val="none"/>
        </w:rPr>
      </w:r>
      <w:r/>
    </w:p>
    <w:p>
      <w:pPr>
        <w:pStyle w:val="738"/>
        <w:jc w:val="both"/>
        <w:spacing w:before="0"/>
        <w:rPr>
          <w:rFonts w:ascii="Arial" w:hAnsi="Arial" w:cs="Arial"/>
          <w:bCs w:val="0"/>
          <w:color w:val="auto"/>
          <w:sz w:val="24"/>
          <w:szCs w:val="24"/>
          <w:highlight w:val="none"/>
        </w:rPr>
      </w:pPr>
      <w:r/>
      <w:bookmarkStart w:id="342" w:name="_Toc103848605"/>
      <w:r/>
      <w:bookmarkStart w:id="343" w:name="_Toc107246305"/>
      <w:r/>
      <w:bookmarkStart w:id="344" w:name="_Toc104560922"/>
      <w:r/>
      <w:bookmarkStart w:id="345" w:name="_Toc100905289"/>
      <w:r/>
      <w:bookmarkStart w:id="346" w:name="_Toc96347904"/>
      <w:r>
        <w:rPr>
          <w:rFonts w:ascii="Arial" w:hAnsi="Arial" w:cs="Arial"/>
          <w:bCs w:val="0"/>
          <w:color w:val="auto"/>
          <w:sz w:val="24"/>
          <w:szCs w:val="24"/>
          <w:highlight w:val="none"/>
        </w:rPr>
        <w:t xml:space="preserve">（</w:t>
      </w:r>
      <w:r>
        <w:rPr>
          <w:rFonts w:hint="eastAsia" w:ascii="Arial" w:hAnsi="Arial" w:cs="Arial"/>
          <w:bCs w:val="0"/>
          <w:color w:val="auto"/>
          <w:sz w:val="24"/>
          <w:szCs w:val="24"/>
          <w:highlight w:val="none"/>
          <w:lang w:val="en-US" w:eastAsia="zh-CN"/>
        </w:rPr>
        <w:t xml:space="preserve">5</w:t>
      </w:r>
      <w:r>
        <w:rPr>
          <w:rFonts w:ascii="Arial" w:hAnsi="Arial" w:cs="Arial"/>
          <w:bCs w:val="0"/>
          <w:color w:val="auto"/>
          <w:sz w:val="24"/>
          <w:szCs w:val="24"/>
          <w:highlight w:val="none"/>
        </w:rPr>
        <w:t xml:space="preserve">）业绩证明材料</w:t>
      </w:r>
      <w:r/>
    </w:p>
    <w:p>
      <w:pPr>
        <w:ind w:firstLine="372"/>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br w:type="page" w:clear="all"/>
      </w:r>
      <w:r/>
    </w:p>
    <w:p>
      <w:pPr>
        <w:rPr>
          <w:rFonts w:ascii="Arial" w:hAnsi="Arial" w:cs="Arial"/>
          <w:color w:val="auto"/>
          <w:highlight w:val="none"/>
        </w:rPr>
      </w:pPr>
      <w:r>
        <w:rPr>
          <w:rFonts w:ascii="Arial" w:hAnsi="Arial" w:cs="Arial"/>
          <w:color w:val="auto"/>
          <w:highlight w:val="none"/>
        </w:rPr>
      </w:r>
      <w:r/>
    </w:p>
    <w:p>
      <w:pPr>
        <w:pStyle w:val="738"/>
        <w:jc w:val="both"/>
        <w:spacing w:before="0"/>
        <w:rPr>
          <w:rFonts w:ascii="Arial" w:hAnsi="Arial" w:cs="Arial"/>
          <w:color w:val="auto"/>
          <w:highlight w:val="none"/>
        </w:rPr>
      </w:pPr>
      <w:r>
        <w:rPr>
          <w:rFonts w:ascii="Arial" w:hAnsi="Arial" w:cs="Arial"/>
          <w:color w:val="auto"/>
          <w:sz w:val="28"/>
          <w:szCs w:val="24"/>
          <w:highlight w:val="none"/>
        </w:rPr>
        <w:t xml:space="preserve">三、其他部分</w:t>
      </w:r>
      <w:bookmarkEnd w:id="342"/>
      <w:r/>
      <w:bookmarkEnd w:id="343"/>
      <w:r/>
      <w:bookmarkEnd w:id="344"/>
      <w:r/>
      <w:r/>
    </w:p>
    <w:p>
      <w:pPr>
        <w:ind w:firstLine="372"/>
        <w:rPr>
          <w:rFonts w:ascii="Arial" w:hAnsi="Arial" w:cs="Arial"/>
          <w:color w:val="auto"/>
          <w:highlight w:val="none"/>
        </w:rPr>
      </w:pPr>
      <w:r/>
      <w:bookmarkStart w:id="347" w:name="_Toc107246306"/>
      <w:r/>
      <w:bookmarkStart w:id="348" w:name="_Toc104560923"/>
      <w:r/>
      <w:bookmarkStart w:id="349" w:name="_Toc103848606"/>
      <w:r/>
      <w:r/>
    </w:p>
    <w:p>
      <w:pPr>
        <w:pStyle w:val="738"/>
        <w:ind w:firstLine="426"/>
        <w:spacing w:before="0"/>
        <w:rPr>
          <w:rFonts w:ascii="Arial" w:hAnsi="Arial" w:cs="Arial"/>
          <w:bCs w:val="0"/>
          <w:color w:val="auto"/>
          <w:sz w:val="24"/>
          <w:szCs w:val="24"/>
          <w:highlight w:val="none"/>
        </w:rPr>
      </w:pPr>
      <w:r/>
      <w:bookmarkStart w:id="350" w:name="_Toc107246308"/>
      <w:r/>
      <w:bookmarkStart w:id="351" w:name="_Toc104560925"/>
      <w:r/>
      <w:bookmarkStart w:id="352" w:name="_Toc103848608"/>
      <w:r/>
      <w:bookmarkStart w:id="353" w:name="_Toc100905295"/>
      <w:r/>
      <w:bookmarkStart w:id="354" w:name="_Toc103848607"/>
      <w:r/>
      <w:bookmarkStart w:id="355" w:name="_Toc104560924"/>
      <w:r/>
      <w:bookmarkStart w:id="356" w:name="_Toc107246307"/>
      <w:r>
        <w:rPr>
          <w:rFonts w:ascii="Arial" w:hAnsi="Arial" w:cs="Arial"/>
          <w:bCs w:val="0"/>
          <w:color w:val="auto"/>
          <w:sz w:val="24"/>
          <w:szCs w:val="24"/>
          <w:highlight w:val="none"/>
        </w:rPr>
        <w:t xml:space="preserve">（1）要求投标人提交的其他文件材料或证明材料</w:t>
      </w:r>
      <w:bookmarkEnd w:id="350"/>
      <w:r/>
      <w:bookmarkEnd w:id="351"/>
      <w:r/>
      <w:bookmarkEnd w:id="352"/>
      <w:r/>
      <w:r/>
    </w:p>
    <w:p>
      <w:pPr>
        <w:pStyle w:val="718"/>
        <w:ind w:left="1260" w:firstLine="426"/>
        <w:rPr>
          <w:rFonts w:ascii="Arial" w:hAnsi="Arial" w:cs="Arial"/>
          <w:color w:val="auto"/>
          <w:highlight w:val="none"/>
        </w:rPr>
      </w:pPr>
      <w:r>
        <w:rPr>
          <w:rFonts w:ascii="Arial" w:hAnsi="Arial" w:cs="Arial"/>
          <w:color w:val="auto"/>
          <w:highlight w:val="none"/>
        </w:rPr>
      </w:r>
      <w:r/>
    </w:p>
    <w:p>
      <w:pPr>
        <w:pStyle w:val="718"/>
        <w:ind w:left="1260" w:firstLine="426"/>
        <w:rPr>
          <w:rFonts w:ascii="Arial" w:hAnsi="Arial" w:cs="Arial"/>
          <w:color w:val="auto"/>
          <w:highlight w:val="none"/>
        </w:rPr>
      </w:pPr>
      <w:r>
        <w:rPr>
          <w:rFonts w:ascii="Arial" w:hAnsi="Arial" w:cs="Arial"/>
          <w:color w:val="auto"/>
          <w:highlight w:val="none"/>
        </w:rPr>
        <w:br w:type="page" w:clear="all"/>
      </w:r>
      <w:r/>
    </w:p>
    <w:p>
      <w:pPr>
        <w:pStyle w:val="738"/>
        <w:ind w:firstLine="426"/>
        <w:spacing w:before="0"/>
        <w:rPr>
          <w:rFonts w:ascii="Arial" w:hAnsi="Arial" w:cs="Arial"/>
          <w:bCs w:val="0"/>
          <w:color w:val="auto"/>
          <w:sz w:val="24"/>
          <w:szCs w:val="24"/>
          <w:highlight w:val="none"/>
        </w:rPr>
      </w:pPr>
      <w:r>
        <w:rPr>
          <w:rFonts w:ascii="Arial" w:hAnsi="Arial" w:cs="Arial"/>
          <w:bCs w:val="0"/>
          <w:color w:val="auto"/>
          <w:sz w:val="24"/>
          <w:szCs w:val="24"/>
          <w:highlight w:val="none"/>
        </w:rPr>
        <w:t xml:space="preserve">（2）投标人认为需提供的其他</w:t>
      </w:r>
      <w:bookmarkEnd w:id="353"/>
      <w:r>
        <w:rPr>
          <w:rFonts w:ascii="Arial" w:hAnsi="Arial" w:cs="Arial"/>
          <w:bCs w:val="0"/>
          <w:color w:val="auto"/>
          <w:sz w:val="24"/>
          <w:szCs w:val="24"/>
          <w:highlight w:val="none"/>
        </w:rPr>
        <w:t xml:space="preserve">文件或证明材料</w:t>
      </w:r>
      <w:bookmarkEnd w:id="354"/>
      <w:r/>
      <w:bookmarkEnd w:id="355"/>
      <w:r/>
      <w:bookmarkEnd w:id="356"/>
      <w:r/>
      <w:r/>
    </w:p>
    <w:p>
      <w:pPr>
        <w:ind w:firstLine="372"/>
        <w:rPr>
          <w:rFonts w:ascii="Arial" w:hAnsi="Arial" w:cs="Arial"/>
          <w:color w:val="auto"/>
          <w:highlight w:val="none"/>
        </w:rPr>
      </w:pPr>
      <w:r>
        <w:rPr>
          <w:rFonts w:ascii="Arial" w:hAnsi="Arial" w:cs="Arial"/>
          <w:color w:val="auto"/>
          <w:highlight w:val="none"/>
        </w:rPr>
        <w:br w:type="page" w:clear="all"/>
      </w:r>
      <w:r/>
    </w:p>
    <w:p>
      <w:pPr>
        <w:pStyle w:val="738"/>
        <w:ind w:firstLine="426"/>
        <w:spacing w:before="0"/>
        <w:rPr>
          <w:rFonts w:ascii="Arial" w:hAnsi="Arial" w:cs="Arial"/>
          <w:bCs w:val="0"/>
          <w:color w:val="auto"/>
          <w:sz w:val="24"/>
          <w:szCs w:val="24"/>
          <w:highlight w:val="none"/>
        </w:rPr>
      </w:pPr>
      <w:r>
        <w:rPr>
          <w:rFonts w:ascii="Arial" w:hAnsi="Arial" w:cs="Arial"/>
          <w:bCs w:val="0"/>
          <w:color w:val="auto"/>
          <w:sz w:val="24"/>
          <w:szCs w:val="24"/>
          <w:highlight w:val="none"/>
        </w:rPr>
        <w:t xml:space="preserve">（3）提供符合政府采购政策的证明材料</w:t>
      </w:r>
      <w:bookmarkEnd w:id="345"/>
      <w:r/>
      <w:bookmarkEnd w:id="347"/>
      <w:r/>
      <w:bookmarkEnd w:id="348"/>
      <w:r/>
      <w:bookmarkEnd w:id="349"/>
      <w:r/>
      <w:r/>
    </w:p>
    <w:p>
      <w:pPr>
        <w:ind w:firstLine="372"/>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t xml:space="preserve">（请根据本项目</w:t>
      </w:r>
      <w:r>
        <w:rPr>
          <w:rFonts w:ascii="Arial" w:hAnsi="Arial" w:cs="Arial"/>
          <w:bCs/>
          <w:color w:val="auto"/>
          <w:szCs w:val="21"/>
          <w:highlight w:val="none"/>
        </w:rPr>
        <w:t xml:space="preserve">“</w:t>
      </w:r>
      <w:r>
        <w:rPr>
          <w:rFonts w:ascii="Arial" w:hAnsi="Arial" w:cs="Arial"/>
          <w:color w:val="auto"/>
          <w:highlight w:val="none"/>
        </w:rPr>
        <w:t xml:space="preserve">服务项目类型</w:t>
      </w:r>
      <w:r>
        <w:rPr>
          <w:rFonts w:ascii="Arial" w:hAnsi="Arial" w:cs="Arial"/>
          <w:bCs/>
          <w:color w:val="auto"/>
          <w:highlight w:val="none"/>
        </w:rPr>
        <w:t xml:space="preserve">”</w:t>
      </w:r>
      <w:r>
        <w:rPr>
          <w:rFonts w:ascii="Arial" w:hAnsi="Arial" w:cs="Arial"/>
          <w:color w:val="auto"/>
          <w:highlight w:val="none"/>
        </w:rPr>
        <w:t xml:space="preserve">选择合适的中小企业声明函，不适用的可以不提交）</w:t>
      </w:r>
      <w:r/>
    </w:p>
    <w:p>
      <w:pPr>
        <w:ind w:right="-23" w:firstLine="379"/>
        <w:jc w:val="center"/>
        <w:rPr>
          <w:rFonts w:ascii="Arial" w:hAnsi="Arial" w:cs="Arial"/>
          <w:color w:val="auto"/>
          <w:spacing w:val="2"/>
          <w:position w:val="-3"/>
          <w:szCs w:val="21"/>
          <w:highlight w:val="none"/>
        </w:rPr>
      </w:pPr>
      <w:r>
        <w:rPr>
          <w:rFonts w:ascii="Arial" w:hAnsi="Arial" w:cs="Arial"/>
          <w:color w:val="auto"/>
          <w:spacing w:val="2"/>
          <w:position w:val="-3"/>
          <w:szCs w:val="21"/>
          <w:highlight w:val="none"/>
        </w:rPr>
      </w:r>
      <w:r/>
    </w:p>
    <w:p>
      <w:pPr>
        <w:ind w:firstLine="482"/>
        <w:jc w:val="center"/>
        <w:spacing w:line="360" w:lineRule="auto"/>
        <w:rPr>
          <w:rFonts w:ascii="Arial" w:hAnsi="Arial" w:cs="Arial"/>
          <w:b/>
          <w:color w:val="auto"/>
          <w:sz w:val="24"/>
          <w:highlight w:val="none"/>
        </w:rPr>
      </w:pPr>
      <w:r>
        <w:rPr>
          <w:rFonts w:ascii="Arial" w:hAnsi="Arial" w:cs="Arial"/>
          <w:b/>
          <w:color w:val="auto"/>
          <w:sz w:val="24"/>
          <w:highlight w:val="none"/>
        </w:rPr>
        <w:t xml:space="preserve">中小企业声明函（服务）</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本公司（联合体）郑重声明，根据《政府采购促进中小企业发展管理办法》（财库﹝2020﹞46 号）的规定，本公司（联合体）参加</w:t>
      </w:r>
      <w:r>
        <w:rPr>
          <w:rFonts w:ascii="Arial" w:hAnsi="Arial" w:cs="Arial"/>
          <w:i/>
          <w:color w:val="auto"/>
          <w:spacing w:val="3"/>
          <w:szCs w:val="21"/>
          <w:highlight w:val="none"/>
          <w:u w:val="single"/>
        </w:rPr>
        <w:t xml:space="preserve">（单位名称）</w:t>
      </w:r>
      <w:r>
        <w:rPr>
          <w:rFonts w:ascii="Arial" w:hAnsi="Arial" w:cs="Arial"/>
          <w:color w:val="auto"/>
          <w:spacing w:val="3"/>
          <w:szCs w:val="21"/>
          <w:highlight w:val="none"/>
        </w:rPr>
        <w:t xml:space="preserve">的</w:t>
      </w:r>
      <w:r>
        <w:rPr>
          <w:rFonts w:ascii="Arial" w:hAnsi="Arial" w:cs="Arial"/>
          <w:i/>
          <w:color w:val="auto"/>
          <w:spacing w:val="3"/>
          <w:szCs w:val="21"/>
          <w:highlight w:val="none"/>
          <w:u w:val="single"/>
        </w:rPr>
        <w:t xml:space="preserve">（项目名称）</w:t>
      </w:r>
      <w:r>
        <w:rPr>
          <w:rFonts w:ascii="Arial" w:hAnsi="Arial" w:cs="Arial"/>
          <w:color w:val="auto"/>
          <w:spacing w:val="3"/>
          <w:szCs w:val="21"/>
          <w:highlight w:val="none"/>
        </w:rPr>
        <w:t xml:space="preserve">采购活动，服务全部由符合政策要求的中小企业承接。相关企业（含联合体中的中小企业、签订分包意向协议的中小企业）的具体情 况如下：</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1. </w:t>
      </w:r>
      <w:r>
        <w:rPr>
          <w:rFonts w:ascii="Arial" w:hAnsi="Arial" w:cs="Arial"/>
          <w:i/>
          <w:color w:val="auto"/>
          <w:spacing w:val="3"/>
          <w:szCs w:val="21"/>
          <w:highlight w:val="none"/>
          <w:u w:val="single"/>
        </w:rPr>
        <w:t xml:space="preserve">（标的名称）</w:t>
      </w:r>
      <w:r>
        <w:rPr>
          <w:rFonts w:ascii="Arial" w:hAnsi="Arial" w:cs="Arial"/>
          <w:color w:val="auto"/>
          <w:spacing w:val="3"/>
          <w:szCs w:val="21"/>
          <w:highlight w:val="none"/>
        </w:rPr>
        <w:t xml:space="preserve">，属于</w:t>
      </w:r>
      <w:r>
        <w:rPr>
          <w:rFonts w:ascii="Arial" w:hAnsi="Arial" w:cs="Arial"/>
          <w:i/>
          <w:color w:val="auto"/>
          <w:spacing w:val="3"/>
          <w:szCs w:val="21"/>
          <w:highlight w:val="none"/>
          <w:u w:val="single"/>
        </w:rPr>
        <w:t xml:space="preserve">（招标文件中明确的所属行业）</w:t>
      </w:r>
      <w:r>
        <w:rPr>
          <w:rFonts w:ascii="Arial" w:hAnsi="Arial" w:cs="Arial"/>
          <w:color w:val="auto"/>
          <w:spacing w:val="3"/>
          <w:szCs w:val="21"/>
          <w:highlight w:val="none"/>
        </w:rPr>
        <w:t xml:space="preserve">； 承建（承接）企业为</w:t>
      </w:r>
      <w:r>
        <w:rPr>
          <w:rFonts w:ascii="Arial" w:hAnsi="Arial" w:cs="Arial"/>
          <w:i/>
          <w:color w:val="auto"/>
          <w:spacing w:val="3"/>
          <w:szCs w:val="21"/>
          <w:highlight w:val="none"/>
          <w:u w:val="single"/>
        </w:rPr>
        <w:t xml:space="preserve">（企业名称）</w:t>
      </w:r>
      <w:r>
        <w:rPr>
          <w:rFonts w:ascii="Arial" w:hAnsi="Arial" w:cs="Arial"/>
          <w:color w:val="auto"/>
          <w:spacing w:val="3"/>
          <w:szCs w:val="21"/>
          <w:highlight w:val="none"/>
        </w:rPr>
        <w:t xml:space="preserve">，从业人员</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人，营业 收入为</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万元，资产总额为</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万元</w:t>
      </w:r>
      <w:r>
        <w:rPr>
          <w:rFonts w:ascii="Arial" w:hAnsi="Arial" w:cs="Arial"/>
          <w:color w:val="auto"/>
          <w:spacing w:val="3"/>
          <w:szCs w:val="21"/>
          <w:highlight w:val="none"/>
          <w:vertAlign w:val="superscript"/>
        </w:rPr>
        <w:t xml:space="preserve">1</w:t>
      </w:r>
      <w:r>
        <w:rPr>
          <w:rFonts w:ascii="Arial" w:hAnsi="Arial" w:cs="Arial"/>
          <w:color w:val="auto"/>
          <w:spacing w:val="3"/>
          <w:szCs w:val="21"/>
          <w:highlight w:val="none"/>
        </w:rPr>
        <w:t xml:space="preserve">，属于</w:t>
      </w:r>
      <w:r>
        <w:rPr>
          <w:rFonts w:ascii="Arial" w:hAnsi="Arial" w:cs="Arial"/>
          <w:i/>
          <w:color w:val="auto"/>
          <w:spacing w:val="3"/>
          <w:szCs w:val="21"/>
          <w:highlight w:val="none"/>
          <w:u w:val="single"/>
        </w:rPr>
        <w:t xml:space="preserve">（中型企业、 小型企业、微型企业）</w:t>
      </w:r>
      <w:r>
        <w:rPr>
          <w:rFonts w:ascii="Arial" w:hAnsi="Arial" w:cs="Arial"/>
          <w:color w:val="auto"/>
          <w:spacing w:val="3"/>
          <w:szCs w:val="21"/>
          <w:highlight w:val="none"/>
        </w:rPr>
        <w:t xml:space="preserve">；</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2. </w:t>
      </w:r>
      <w:r>
        <w:rPr>
          <w:rFonts w:ascii="Arial" w:hAnsi="Arial" w:cs="Arial"/>
          <w:i/>
          <w:color w:val="auto"/>
          <w:spacing w:val="3"/>
          <w:szCs w:val="21"/>
          <w:highlight w:val="none"/>
          <w:u w:val="single"/>
        </w:rPr>
        <w:t xml:space="preserve">（标的名称）</w:t>
      </w:r>
      <w:r>
        <w:rPr>
          <w:rFonts w:ascii="Arial" w:hAnsi="Arial" w:cs="Arial"/>
          <w:color w:val="auto"/>
          <w:spacing w:val="3"/>
          <w:szCs w:val="21"/>
          <w:highlight w:val="none"/>
        </w:rPr>
        <w:t xml:space="preserve">，属于</w:t>
      </w:r>
      <w:r>
        <w:rPr>
          <w:rFonts w:ascii="Arial" w:hAnsi="Arial" w:cs="Arial"/>
          <w:i/>
          <w:color w:val="auto"/>
          <w:spacing w:val="3"/>
          <w:szCs w:val="21"/>
          <w:highlight w:val="none"/>
          <w:u w:val="single"/>
        </w:rPr>
        <w:t xml:space="preserve">（招标文件中明确的所属行业）</w:t>
      </w:r>
      <w:r>
        <w:rPr>
          <w:rFonts w:ascii="Arial" w:hAnsi="Arial" w:cs="Arial"/>
          <w:color w:val="auto"/>
          <w:spacing w:val="3"/>
          <w:szCs w:val="21"/>
          <w:highlight w:val="none"/>
        </w:rPr>
        <w:t xml:space="preserve">； 承建（承接）企业为</w:t>
      </w:r>
      <w:r>
        <w:rPr>
          <w:rFonts w:ascii="Arial" w:hAnsi="Arial" w:cs="Arial"/>
          <w:i/>
          <w:color w:val="auto"/>
          <w:spacing w:val="3"/>
          <w:szCs w:val="21"/>
          <w:highlight w:val="none"/>
          <w:u w:val="single"/>
        </w:rPr>
        <w:t xml:space="preserve">（企业名称）</w:t>
      </w:r>
      <w:r>
        <w:rPr>
          <w:rFonts w:ascii="Arial" w:hAnsi="Arial" w:cs="Arial"/>
          <w:color w:val="auto"/>
          <w:spacing w:val="3"/>
          <w:szCs w:val="21"/>
          <w:highlight w:val="none"/>
        </w:rPr>
        <w:t xml:space="preserve">，从业人员</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人，营业 收入为</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万元，资产总额为</w:t>
      </w:r>
      <w:r>
        <w:rPr>
          <w:rFonts w:ascii="Arial" w:hAnsi="Arial" w:cs="Arial"/>
          <w:color w:val="auto"/>
          <w:spacing w:val="3"/>
          <w:szCs w:val="21"/>
          <w:highlight w:val="none"/>
          <w:u w:val="single"/>
        </w:rPr>
        <w:t xml:space="preserve"> </w:t>
      </w:r>
      <w:r>
        <w:rPr>
          <w:rFonts w:ascii="Arial" w:hAnsi="Arial" w:cs="Arial"/>
          <w:color w:val="auto"/>
          <w:spacing w:val="3"/>
          <w:szCs w:val="21"/>
          <w:highlight w:val="none"/>
          <w:u w:val="single"/>
        </w:rPr>
        <w:tab/>
      </w:r>
      <w:r>
        <w:rPr>
          <w:rFonts w:ascii="Arial" w:hAnsi="Arial" w:cs="Arial"/>
          <w:color w:val="auto"/>
          <w:spacing w:val="3"/>
          <w:szCs w:val="21"/>
          <w:highlight w:val="none"/>
        </w:rPr>
        <w:t xml:space="preserve">万元，属于</w:t>
      </w:r>
      <w:r>
        <w:rPr>
          <w:rFonts w:ascii="Arial" w:hAnsi="Arial" w:cs="Arial"/>
          <w:i/>
          <w:color w:val="auto"/>
          <w:spacing w:val="3"/>
          <w:szCs w:val="21"/>
          <w:highlight w:val="none"/>
          <w:u w:val="single"/>
        </w:rPr>
        <w:t xml:space="preserve">（中型企业、 小型企业、微型企业）</w:t>
      </w:r>
      <w:r>
        <w:rPr>
          <w:rFonts w:ascii="Arial" w:hAnsi="Arial" w:cs="Arial"/>
          <w:color w:val="auto"/>
          <w:spacing w:val="3"/>
          <w:szCs w:val="21"/>
          <w:highlight w:val="none"/>
        </w:rPr>
        <w:t xml:space="preserve">；</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 </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Arial" w:hAnsi="Arial" w:cs="Arial"/>
          <w:color w:val="auto"/>
          <w:spacing w:val="3"/>
          <w:szCs w:val="21"/>
          <w:highlight w:val="none"/>
        </w:rPr>
      </w:pPr>
      <w:r>
        <w:rPr>
          <w:rFonts w:ascii="Arial" w:hAnsi="Arial" w:cs="Arial"/>
          <w:color w:val="auto"/>
          <w:spacing w:val="3"/>
          <w:szCs w:val="21"/>
          <w:highlight w:val="none"/>
        </w:rPr>
        <w:t xml:space="preserve">本企业对上述声明内容的真实性负责。如有虚假，将依法承担相应责任。</w:t>
      </w:r>
      <w:r/>
    </w:p>
    <w:p>
      <w:pPr>
        <w:spacing w:before="3" w:line="360" w:lineRule="auto"/>
        <w:rPr>
          <w:rFonts w:ascii="Arial" w:hAnsi="Arial" w:cs="Arial"/>
          <w:color w:val="auto"/>
          <w:szCs w:val="21"/>
          <w:highlight w:val="none"/>
        </w:rPr>
      </w:pPr>
      <w:r>
        <w:rPr>
          <w:rFonts w:ascii="Arial" w:hAnsi="Arial" w:cs="Arial"/>
          <w:color w:val="auto"/>
          <w:szCs w:val="21"/>
          <w:highlight w:val="none"/>
        </w:rPr>
      </w:r>
      <w:r/>
    </w:p>
    <w:p>
      <w:pPr>
        <w:ind w:right="400" w:firstLine="3780"/>
        <w:spacing w:line="360" w:lineRule="auto"/>
        <w:rPr>
          <w:rFonts w:ascii="Arial" w:hAnsi="Arial" w:cs="Arial"/>
          <w:color w:val="auto"/>
          <w:szCs w:val="21"/>
          <w:highlight w:val="none"/>
          <w:u w:val="single"/>
        </w:rPr>
      </w:pPr>
      <w:r>
        <w:rPr>
          <w:rFonts w:ascii="Arial" w:hAnsi="Arial" w:cs="Arial"/>
          <w:color w:val="auto"/>
          <w:position w:val="-2"/>
          <w:szCs w:val="21"/>
          <w:highlight w:val="none"/>
        </w:rPr>
        <w:t xml:space="preserve">企</w:t>
      </w:r>
      <w:r>
        <w:rPr>
          <w:rFonts w:ascii="Arial" w:hAnsi="Arial" w:cs="Arial"/>
          <w:color w:val="auto"/>
          <w:spacing w:val="3"/>
          <w:position w:val="-2"/>
          <w:szCs w:val="21"/>
          <w:highlight w:val="none"/>
        </w:rPr>
        <w:t xml:space="preserve">业</w:t>
      </w:r>
      <w:r>
        <w:rPr>
          <w:rFonts w:ascii="Arial" w:hAnsi="Arial" w:cs="Arial"/>
          <w:color w:val="auto"/>
          <w:position w:val="-2"/>
          <w:szCs w:val="21"/>
          <w:highlight w:val="none"/>
        </w:rPr>
        <w:t xml:space="preserve">名称</w:t>
      </w:r>
      <w:r>
        <w:rPr>
          <w:rFonts w:ascii="Arial" w:hAnsi="Arial" w:cs="Arial"/>
          <w:color w:val="auto"/>
          <w:spacing w:val="3"/>
          <w:position w:val="-2"/>
          <w:szCs w:val="21"/>
          <w:highlight w:val="none"/>
        </w:rPr>
        <w:t xml:space="preserve">（</w:t>
      </w:r>
      <w:r>
        <w:rPr>
          <w:rFonts w:ascii="Arial" w:hAnsi="Arial" w:cs="Arial"/>
          <w:color w:val="auto"/>
          <w:position w:val="-2"/>
          <w:szCs w:val="21"/>
          <w:highlight w:val="none"/>
        </w:rPr>
        <w:t xml:space="preserve">盖章</w:t>
      </w:r>
      <w:r>
        <w:rPr>
          <w:rFonts w:ascii="Arial" w:hAnsi="Arial" w:cs="Arial"/>
          <w:color w:val="auto"/>
          <w:spacing w:val="-158"/>
          <w:position w:val="-2"/>
          <w:szCs w:val="21"/>
          <w:highlight w:val="none"/>
        </w:rPr>
        <w:t xml:space="preserve">）</w:t>
      </w:r>
      <w:r>
        <w:rPr>
          <w:rFonts w:ascii="Arial" w:hAnsi="Arial" w:cs="Arial"/>
          <w:color w:val="auto"/>
          <w:position w:val="-2"/>
          <w:szCs w:val="21"/>
          <w:highlight w:val="none"/>
        </w:rPr>
        <w:t xml:space="preserve">  ： </w:t>
      </w:r>
      <w:r>
        <w:rPr>
          <w:rFonts w:ascii="Arial" w:hAnsi="Arial" w:cs="Arial"/>
          <w:color w:val="auto"/>
          <w:position w:val="-2"/>
          <w:szCs w:val="21"/>
          <w:highlight w:val="none"/>
          <w:u w:val="single"/>
        </w:rPr>
        <w:t xml:space="preserve">           </w:t>
      </w:r>
      <w:r/>
    </w:p>
    <w:p>
      <w:pPr>
        <w:ind w:right="420" w:firstLine="3780"/>
        <w:spacing w:line="360" w:lineRule="auto"/>
        <w:rPr>
          <w:rFonts w:ascii="Arial" w:hAnsi="Arial" w:cs="Arial"/>
          <w:color w:val="auto"/>
          <w:szCs w:val="21"/>
          <w:highlight w:val="none"/>
        </w:rPr>
      </w:pPr>
      <w:r>
        <w:rPr>
          <w:rFonts w:ascii="Arial" w:hAnsi="Arial" w:cs="Arial"/>
          <w:color w:val="auto"/>
          <w:szCs w:val="21"/>
          <w:highlight w:val="none"/>
        </w:rPr>
        <w:t xml:space="preserve">日期：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jc w:val="center"/>
        <w:spacing w:line="360" w:lineRule="auto"/>
        <w:rPr>
          <w:rFonts w:ascii="Arial" w:hAnsi="Arial" w:cs="Arial"/>
          <w:color w:val="auto"/>
          <w:szCs w:val="21"/>
          <w:highlight w:val="none"/>
        </w:rPr>
      </w:pPr>
      <w:r>
        <w:rPr>
          <w:rFonts w:ascii="Arial" w:hAnsi="Arial" w:cs="Arial"/>
          <w:color w:val="auto"/>
          <w:szCs w:val="21"/>
          <w:highlight w:val="none"/>
        </w:rPr>
      </w:r>
      <w:r/>
    </w:p>
    <w:p>
      <w:pPr>
        <w:jc w:val="center"/>
        <w:spacing w:line="360" w:lineRule="auto"/>
        <w:rPr>
          <w:rFonts w:ascii="Arial" w:hAnsi="Arial" w:cs="Arial"/>
          <w:color w:val="auto"/>
          <w:szCs w:val="21"/>
          <w:highlight w:val="none"/>
        </w:rPr>
      </w:pPr>
      <w:r>
        <w:rPr>
          <w:rFonts w:ascii="Arial" w:hAnsi="Arial" w:cs="Arial"/>
          <w:color w:val="auto"/>
          <w:szCs w:val="21"/>
          <w:highlight w:val="none"/>
        </w:rPr>
      </w:r>
      <w:r/>
    </w:p>
    <w:p>
      <w:pPr>
        <w:ind w:right="-20"/>
        <w:spacing w:line="360" w:lineRule="auto"/>
        <w:rPr>
          <w:rFonts w:ascii="Arial" w:hAnsi="Arial" w:cs="Arial"/>
          <w:color w:val="auto"/>
          <w:position w:val="-2"/>
          <w:szCs w:val="21"/>
          <w:highlight w:val="none"/>
        </w:rPr>
      </w:pPr>
      <w:r>
        <w:rPr>
          <w:rFonts w:ascii="Arial" w:hAnsi="Arial" w:cs="Arial"/>
          <w:color w:val="auto"/>
          <w:position w:val="-2"/>
          <w:szCs w:val="21"/>
          <w:highlight w:val="none"/>
          <w:vertAlign w:val="superscript"/>
        </w:rPr>
        <w:t xml:space="preserve">1</w:t>
      </w:r>
      <w:r>
        <w:rPr>
          <w:rFonts w:ascii="Arial" w:hAnsi="Arial" w:cs="Arial"/>
          <w:color w:val="auto"/>
          <w:position w:val="-2"/>
          <w:szCs w:val="21"/>
          <w:highlight w:val="none"/>
        </w:rPr>
        <w:t xml:space="preserve">从业人员、营业收入、资产总额填报上一年度数据，无上一年度数据的新成立企业可不填报。</w:t>
      </w:r>
      <w:r/>
    </w:p>
    <w:p>
      <w:pPr>
        <w:rPr>
          <w:rFonts w:ascii="Arial" w:hAnsi="Arial" w:cs="Arial"/>
          <w:color w:val="auto"/>
          <w:szCs w:val="21"/>
          <w:highlight w:val="none"/>
        </w:rPr>
      </w:pPr>
      <w:r>
        <w:rPr>
          <w:rFonts w:ascii="Arial" w:hAnsi="Arial" w:cs="Arial"/>
          <w:color w:val="auto"/>
          <w:szCs w:val="21"/>
          <w:highlight w:val="none"/>
        </w:rPr>
      </w:r>
      <w:r/>
    </w:p>
    <w:p>
      <w:pPr>
        <w:rPr>
          <w:rFonts w:ascii="Arial" w:hAnsi="Arial" w:cs="Arial"/>
          <w:b/>
          <w:color w:val="auto"/>
          <w:szCs w:val="21"/>
          <w:highlight w:val="none"/>
        </w:rPr>
      </w:pPr>
      <w:r>
        <w:rPr>
          <w:rFonts w:ascii="Arial" w:hAnsi="Arial" w:cs="Arial"/>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jc w:val="left"/>
        <w:widowControl/>
        <w:rPr>
          <w:rFonts w:ascii="Arial" w:hAnsi="Arial" w:cs="Arial"/>
          <w:b/>
          <w:color w:val="auto"/>
          <w:szCs w:val="21"/>
          <w:highlight w:val="none"/>
        </w:rPr>
      </w:pPr>
      <w:r>
        <w:rPr>
          <w:rFonts w:ascii="Arial" w:hAnsi="Arial" w:cs="Arial"/>
          <w:b/>
          <w:color w:val="auto"/>
          <w:szCs w:val="21"/>
          <w:highlight w:val="none"/>
        </w:rPr>
        <w:br w:type="page" w:clear="all"/>
      </w:r>
      <w:r/>
    </w:p>
    <w:p>
      <w:pPr>
        <w:rPr>
          <w:rFonts w:ascii="Arial" w:hAnsi="Arial" w:cs="Arial"/>
          <w:b/>
          <w:color w:val="auto"/>
          <w:szCs w:val="21"/>
          <w:highlight w:val="none"/>
        </w:rPr>
      </w:pPr>
      <w:r>
        <w:rPr>
          <w:rFonts w:ascii="Arial" w:hAnsi="Arial" w:cs="Arial"/>
          <w:b/>
          <w:color w:val="auto"/>
          <w:szCs w:val="21"/>
          <w:highlight w:val="none"/>
        </w:rPr>
      </w:r>
      <w:r/>
    </w:p>
    <w:p>
      <w:pPr>
        <w:ind w:firstLine="372"/>
        <w:rPr>
          <w:rFonts w:ascii="Arial" w:hAnsi="Arial" w:cs="Arial"/>
          <w:color w:val="auto"/>
          <w:highlight w:val="none"/>
        </w:rPr>
      </w:pPr>
      <w:r>
        <w:rPr>
          <w:rFonts w:ascii="Arial" w:hAnsi="Arial" w:cs="Arial"/>
          <w:color w:val="auto"/>
          <w:highlight w:val="none"/>
        </w:rPr>
      </w:r>
      <w:r/>
    </w:p>
    <w:p>
      <w:pPr>
        <w:pStyle w:val="972"/>
        <w:ind w:firstLine="482"/>
        <w:jc w:val="center"/>
        <w:rPr>
          <w:rFonts w:ascii="Arial" w:hAnsi="Arial" w:cs="Arial"/>
          <w:b/>
          <w:color w:val="auto"/>
          <w:sz w:val="24"/>
          <w:szCs w:val="24"/>
          <w:highlight w:val="none"/>
        </w:rPr>
      </w:pPr>
      <w:r>
        <w:rPr>
          <w:rFonts w:ascii="Arial" w:hAnsi="Arial" w:cs="Arial"/>
          <w:b/>
          <w:color w:val="auto"/>
          <w:sz w:val="24"/>
          <w:szCs w:val="24"/>
          <w:highlight w:val="none"/>
        </w:rPr>
        <w:t xml:space="preserve">监狱企业证明</w:t>
      </w:r>
      <w:r/>
    </w:p>
    <w:p>
      <w:pPr>
        <w:pStyle w:val="972"/>
        <w:ind w:firstLine="482"/>
        <w:jc w:val="center"/>
        <w:spacing w:line="276" w:lineRule="auto"/>
        <w:rPr>
          <w:rFonts w:ascii="Arial" w:hAnsi="Arial" w:cs="Arial"/>
          <w:b/>
          <w:color w:val="auto"/>
          <w:sz w:val="24"/>
          <w:szCs w:val="24"/>
          <w:highlight w:val="none"/>
        </w:rPr>
      </w:pPr>
      <w:r>
        <w:rPr>
          <w:rFonts w:ascii="Arial" w:hAnsi="Arial" w:cs="Arial"/>
          <w:b/>
          <w:color w:val="auto"/>
          <w:sz w:val="24"/>
          <w:szCs w:val="24"/>
          <w:highlight w:val="none"/>
        </w:rPr>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根据《关于政府采购支持监狱企业发展有关问题的通知》（财库</w:t>
      </w:r>
      <w:r>
        <w:rPr>
          <w:rFonts w:hint="eastAsia" w:ascii="Arial" w:hAnsi="Arial" w:cs="Arial"/>
          <w:color w:val="auto"/>
          <w:sz w:val="21"/>
          <w:szCs w:val="21"/>
          <w:highlight w:val="none"/>
          <w:lang w:eastAsia="zh-CN"/>
        </w:rPr>
        <w:t xml:space="preserve">〔2014〕68号</w:t>
      </w:r>
      <w:r>
        <w:rPr>
          <w:rFonts w:ascii="Arial" w:hAnsi="Arial" w:cs="Arial"/>
          <w:color w:val="auto"/>
          <w:sz w:val="21"/>
          <w:szCs w:val="21"/>
          <w:highlight w:val="none"/>
        </w:rPr>
        <w:t xml:space="preserve">），监狱企业视同小型、微型企业，享受以上政策。监狱企业须提供由省级以上监狱管理局、戒毒管理局(含新疆生产建设兵团)出具的属于监狱企业的证明文件。</w:t>
      </w:r>
      <w:r/>
    </w:p>
    <w:p>
      <w:pPr>
        <w:pStyle w:val="972"/>
        <w:ind w:firstLine="400"/>
        <w:rPr>
          <w:rFonts w:ascii="Arial" w:hAnsi="Arial" w:cs="Arial"/>
          <w:color w:val="auto"/>
          <w:highlight w:val="none"/>
        </w:rPr>
      </w:pPr>
      <w:r>
        <w:rPr>
          <w:rFonts w:ascii="Arial" w:hAnsi="Arial" w:cs="Arial"/>
          <w:color w:val="auto"/>
          <w:highlight w:val="none"/>
        </w:rPr>
      </w:r>
      <w:r/>
    </w:p>
    <w:p>
      <w:pPr>
        <w:ind w:firstLine="372"/>
        <w:rPr>
          <w:rFonts w:ascii="Arial" w:hAnsi="Arial" w:cs="Arial"/>
          <w:color w:val="auto"/>
          <w:highlight w:val="none"/>
        </w:rPr>
      </w:pPr>
      <w:r>
        <w:rPr>
          <w:rFonts w:ascii="Arial" w:hAnsi="Arial" w:cs="Arial"/>
          <w:color w:val="auto"/>
          <w:highlight w:val="none"/>
        </w:rPr>
      </w:r>
      <w:r/>
    </w:p>
    <w:p>
      <w:pPr>
        <w:pStyle w:val="972"/>
        <w:ind w:firstLine="198"/>
        <w:jc w:val="center"/>
        <w:rPr>
          <w:rFonts w:ascii="Arial" w:hAnsi="Arial" w:cs="Arial"/>
          <w:b/>
          <w:color w:val="auto"/>
          <w:sz w:val="24"/>
          <w:szCs w:val="24"/>
          <w:highlight w:val="none"/>
        </w:rPr>
      </w:pPr>
      <w:r>
        <w:rPr>
          <w:rFonts w:ascii="Arial" w:hAnsi="Arial" w:cs="Arial"/>
          <w:b/>
          <w:color w:val="auto"/>
          <w:sz w:val="24"/>
          <w:szCs w:val="24"/>
          <w:highlight w:val="none"/>
        </w:rPr>
        <w:br w:type="page" w:clear="all"/>
      </w:r>
      <w:r>
        <w:rPr>
          <w:rFonts w:ascii="Arial" w:hAnsi="Arial" w:cs="Arial"/>
          <w:b/>
          <w:color w:val="auto"/>
          <w:sz w:val="24"/>
          <w:szCs w:val="24"/>
          <w:highlight w:val="none"/>
        </w:rPr>
        <w:t xml:space="preserve">残疾人福利性单位声明函</w:t>
      </w:r>
      <w:r/>
    </w:p>
    <w:p>
      <w:pPr>
        <w:ind w:firstLine="554"/>
        <w:spacing w:line="276" w:lineRule="auto"/>
        <w:rPr>
          <w:rFonts w:ascii="Arial" w:hAnsi="Arial" w:cs="Arial"/>
          <w:b/>
          <w:color w:val="auto"/>
          <w:spacing w:val="6"/>
          <w:sz w:val="30"/>
          <w:szCs w:val="30"/>
          <w:highlight w:val="none"/>
        </w:rPr>
      </w:pPr>
      <w:r>
        <w:rPr>
          <w:rFonts w:ascii="Arial" w:hAnsi="Arial" w:cs="Arial"/>
          <w:b/>
          <w:color w:val="auto"/>
          <w:spacing w:val="6"/>
          <w:sz w:val="30"/>
          <w:szCs w:val="30"/>
          <w:highlight w:val="none"/>
        </w:rPr>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本单位郑重声明，根据《财政部民政部中国残疾人联合会关于促进残疾人就业政府采购政策的通知》（财库</w:t>
      </w:r>
      <w:r>
        <w:rPr>
          <w:rFonts w:hint="eastAsia" w:ascii="Arial" w:hAnsi="Arial" w:cs="Arial"/>
          <w:color w:val="auto"/>
          <w:sz w:val="21"/>
          <w:szCs w:val="21"/>
          <w:highlight w:val="none"/>
          <w:lang w:eastAsia="zh-CN"/>
        </w:rPr>
        <w:t xml:space="preserve">〔2017〕141号</w:t>
      </w:r>
      <w:r>
        <w:rPr>
          <w:rFonts w:ascii="Arial" w:hAnsi="Arial" w:cs="Arial"/>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t xml:space="preserve">本单位对上述声明的真实性负责。如有虚假，将依法承担相应责任。</w:t>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r>
      <w:r/>
    </w:p>
    <w:p>
      <w:pPr>
        <w:pStyle w:val="972"/>
        <w:ind w:firstLine="420"/>
        <w:rPr>
          <w:rFonts w:ascii="Arial" w:hAnsi="Arial" w:cs="Arial"/>
          <w:color w:val="auto"/>
          <w:sz w:val="21"/>
          <w:szCs w:val="21"/>
          <w:highlight w:val="none"/>
        </w:rPr>
      </w:pPr>
      <w:r>
        <w:rPr>
          <w:rFonts w:ascii="Arial" w:hAnsi="Arial" w:cs="Arial"/>
          <w:color w:val="auto"/>
          <w:sz w:val="21"/>
          <w:szCs w:val="21"/>
          <w:highlight w:val="none"/>
        </w:rPr>
      </w:r>
      <w:r/>
    </w:p>
    <w:p>
      <w:pPr>
        <w:pStyle w:val="972"/>
        <w:ind w:firstLine="3769"/>
        <w:rPr>
          <w:rFonts w:ascii="Arial" w:hAnsi="Arial" w:cs="Arial"/>
          <w:color w:val="auto"/>
          <w:sz w:val="21"/>
          <w:szCs w:val="21"/>
          <w:highlight w:val="none"/>
        </w:rPr>
      </w:pPr>
      <w:r>
        <w:rPr>
          <w:rFonts w:ascii="Arial" w:hAnsi="Arial" w:cs="Arial"/>
          <w:color w:val="auto"/>
          <w:sz w:val="21"/>
          <w:szCs w:val="21"/>
          <w:highlight w:val="none"/>
        </w:rPr>
        <w:t xml:space="preserve">单位名称（盖章）：____________</w:t>
      </w:r>
      <w:r/>
    </w:p>
    <w:p>
      <w:pPr>
        <w:ind w:firstLine="3780"/>
        <w:jc w:val="left"/>
        <w:spacing w:line="360" w:lineRule="auto"/>
        <w:rPr>
          <w:rFonts w:ascii="Arial" w:hAnsi="Arial" w:cs="Arial"/>
          <w:bCs/>
          <w:color w:val="auto"/>
          <w:szCs w:val="21"/>
          <w:highlight w:val="none"/>
        </w:rPr>
      </w:pPr>
      <w:r>
        <w:rPr>
          <w:rFonts w:ascii="Arial" w:hAnsi="Arial" w:cs="Arial"/>
          <w:bCs/>
          <w:color w:val="auto"/>
          <w:szCs w:val="21"/>
          <w:highlight w:val="none"/>
        </w:rPr>
        <w:t xml:space="preserve">日期：</w:t>
      </w:r>
      <w:r>
        <w:rPr>
          <w:rFonts w:ascii="Arial" w:hAnsi="Arial" w:cs="Arial"/>
          <w:bCs/>
          <w:color w:val="auto"/>
          <w:szCs w:val="21"/>
          <w:highlight w:val="none"/>
          <w:u w:val="single"/>
        </w:rPr>
        <w:tab/>
      </w:r>
      <w:r>
        <w:rPr>
          <w:rFonts w:ascii="Arial" w:hAnsi="Arial" w:cs="Arial"/>
          <w:bCs/>
          <w:color w:val="auto"/>
          <w:szCs w:val="21"/>
          <w:highlight w:val="none"/>
          <w:u w:val="single"/>
        </w:rPr>
        <w:tab/>
      </w:r>
      <w:r>
        <w:rPr>
          <w:rFonts w:ascii="Arial" w:hAnsi="Arial" w:cs="Arial"/>
          <w:bCs/>
          <w:color w:val="auto"/>
          <w:szCs w:val="21"/>
          <w:highlight w:val="none"/>
        </w:rPr>
        <w:t xml:space="preserve">年</w:t>
      </w:r>
      <w:r>
        <w:rPr>
          <w:rFonts w:ascii="Arial" w:hAnsi="Arial" w:cs="Arial"/>
          <w:bCs/>
          <w:color w:val="auto"/>
          <w:szCs w:val="21"/>
          <w:highlight w:val="none"/>
          <w:u w:val="single"/>
        </w:rPr>
        <w:tab/>
      </w:r>
      <w:r>
        <w:rPr>
          <w:rFonts w:ascii="Arial" w:hAnsi="Arial" w:cs="Arial"/>
          <w:bCs/>
          <w:color w:val="auto"/>
          <w:szCs w:val="21"/>
          <w:highlight w:val="none"/>
          <w:u w:val="single"/>
        </w:rPr>
        <w:tab/>
      </w:r>
      <w:r>
        <w:rPr>
          <w:rFonts w:ascii="Arial" w:hAnsi="Arial" w:cs="Arial"/>
          <w:bCs/>
          <w:color w:val="auto"/>
          <w:szCs w:val="21"/>
          <w:highlight w:val="none"/>
        </w:rPr>
        <w:t xml:space="preserve">月</w:t>
      </w:r>
      <w:r>
        <w:rPr>
          <w:rFonts w:ascii="Arial" w:hAnsi="Arial" w:cs="Arial"/>
          <w:bCs/>
          <w:color w:val="auto"/>
          <w:szCs w:val="21"/>
          <w:highlight w:val="none"/>
          <w:u w:val="single"/>
        </w:rPr>
        <w:tab/>
      </w:r>
      <w:r>
        <w:rPr>
          <w:rFonts w:ascii="Arial" w:hAnsi="Arial" w:cs="Arial"/>
          <w:bCs/>
          <w:color w:val="auto"/>
          <w:szCs w:val="21"/>
          <w:highlight w:val="none"/>
          <w:u w:val="single"/>
        </w:rPr>
        <w:tab/>
      </w:r>
      <w:r>
        <w:rPr>
          <w:rFonts w:ascii="Arial" w:hAnsi="Arial" w:cs="Arial"/>
          <w:bCs/>
          <w:color w:val="auto"/>
          <w:szCs w:val="21"/>
          <w:highlight w:val="none"/>
        </w:rPr>
        <w:t xml:space="preserve">日</w:t>
      </w:r>
      <w:bookmarkEnd w:id="346"/>
      <w:r/>
      <w:r/>
    </w:p>
    <w:p>
      <w:pPr>
        <w:pStyle w:val="972"/>
        <w:ind w:firstLine="164"/>
        <w:jc w:val="center"/>
        <w:rPr>
          <w:rFonts w:ascii="Arial" w:hAnsi="Arial" w:cs="Arial"/>
          <w:color w:val="auto"/>
          <w:szCs w:val="21"/>
          <w:highlight w:val="none"/>
        </w:rPr>
      </w:pPr>
      <w:r>
        <w:rPr>
          <w:rFonts w:ascii="Arial" w:hAnsi="Arial" w:cs="Arial"/>
          <w:color w:val="auto"/>
          <w:szCs w:val="21"/>
          <w:highlight w:val="none"/>
        </w:rPr>
      </w:r>
      <w:r/>
    </w:p>
    <w:p>
      <w:pPr>
        <w:ind w:right="420" w:firstLine="3780"/>
        <w:spacing w:line="360" w:lineRule="auto"/>
        <w:rPr>
          <w:rFonts w:ascii="Arial" w:hAnsi="Arial" w:cs="Arial"/>
          <w:color w:val="auto"/>
          <w:szCs w:val="21"/>
          <w:highlight w:val="none"/>
        </w:rPr>
      </w:pPr>
      <w:r>
        <w:rPr>
          <w:rFonts w:ascii="Arial" w:hAnsi="Arial" w:cs="Arial"/>
          <w:color w:val="auto"/>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楷体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26"/>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6"/>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0"/>
      <w:spacing w:line="169" w:lineRule="auto"/>
      <w:rPr>
        <w:rFonts w:hint="eastAsia" w:ascii="宋体" w:hAnsi="宋体" w:eastAsia="宋体" w:cs="宋体"/>
        <w:sz w:val="18"/>
        <w:szCs w:val="18"/>
      </w:rPr>
    </w:pPr>
    <w:r>
      <w:rPr>
        <w:rFonts w:hint="eastAsia" w:ascii="宋体" w:hAnsi="宋体" w:eastAsia="宋体" w:cs="宋体"/>
        <w:spacing w:val="-10"/>
        <w:sz w:val="18"/>
        <w:szCs w:val="18"/>
      </w:rPr>
      <w:t xml:space="preserve">6</w:t>
    </w:r>
    <w:r>
      <w:rPr>
        <w:rFonts w:hint="eastAsia" w:ascii="宋体" w:hAnsi="宋体" w:eastAsia="宋体" w:cs="宋体"/>
        <w:spacing w:val="17"/>
        <w:sz w:val="18"/>
        <w:szCs w:val="18"/>
      </w:rPr>
      <w:t xml:space="preserve"> </w:t>
    </w:r>
    <w:r>
      <w:rPr>
        <w:rFonts w:hint="eastAsia" w:ascii="宋体" w:hAnsi="宋体" w:eastAsia="宋体" w:cs="宋体"/>
        <w:spacing w:val="-10"/>
        <w:sz w:val="18"/>
        <w:szCs w:val="18"/>
      </w:rPr>
      <w:t xml:space="preserve">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46"/>
      <w:spacing w:line="168" w:lineRule="auto"/>
      <w:rPr>
        <w:rFonts w:hint="eastAsia" w:ascii="宋体" w:hAnsi="宋体" w:eastAsia="宋体" w:cs="宋体"/>
        <w:sz w:val="18"/>
        <w:szCs w:val="18"/>
      </w:rPr>
    </w:pPr>
    <w:r>
      <w:rPr>
        <w:rFonts w:hint="eastAsia" w:ascii="宋体" w:hAnsi="宋体" w:eastAsia="宋体" w:cs="宋体"/>
        <w:spacing w:val="-7"/>
        <w:sz w:val="18"/>
        <w:szCs w:val="18"/>
      </w:rPr>
      <w:t xml:space="preserve">7</w:t>
    </w:r>
    <w:r>
      <w:rPr>
        <w:rFonts w:hint="eastAsia" w:ascii="宋体" w:hAnsi="宋体" w:eastAsia="宋体" w:cs="宋体"/>
        <w:spacing w:val="15"/>
        <w:sz w:val="18"/>
        <w:szCs w:val="18"/>
      </w:rPr>
      <w:t xml:space="preserve"> </w:t>
    </w:r>
    <w:r>
      <w:rPr>
        <w:rFonts w:hint="eastAsia" w:ascii="宋体" w:hAnsi="宋体" w:eastAsia="宋体" w:cs="宋体"/>
        <w:spacing w:val="-7"/>
        <w:sz w:val="18"/>
        <w:szCs w:val="18"/>
      </w:rPr>
      <w:t xml:space="preserve">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4"/>
    </w:rPr>
  </w:style>
  <w:style w:type="paragraph" w:styleId="697">
    <w:name w:val="Heading 1"/>
    <w:basedOn w:val="696"/>
    <w:next w:val="696"/>
    <w:link w:val="930"/>
    <w:uiPriority w:val="0"/>
    <w:qFormat/>
    <w:pPr>
      <w:ind w:left="100" w:right="100"/>
      <w:keepLines/>
      <w:keepNext/>
      <w:spacing w:before="120" w:after="120"/>
      <w:outlineLvl w:val="0"/>
    </w:pPr>
    <w:rPr>
      <w:b/>
      <w:bCs/>
      <w:szCs w:val="44"/>
    </w:rPr>
  </w:style>
  <w:style w:type="paragraph" w:styleId="698">
    <w:name w:val="Heading 2"/>
    <w:basedOn w:val="696"/>
    <w:next w:val="696"/>
    <w:link w:val="749"/>
    <w:uiPriority w:val="0"/>
    <w:qFormat/>
    <w:pPr>
      <w:keepLines/>
      <w:keepNext/>
      <w:spacing w:before="260" w:after="260" w:line="416" w:lineRule="auto"/>
      <w:outlineLvl w:val="1"/>
    </w:pPr>
    <w:rPr>
      <w:rFonts w:ascii="等线 Light" w:hAnsi="等线 Light" w:eastAsia="等线 Light"/>
      <w:b/>
      <w:bCs/>
      <w:sz w:val="32"/>
      <w:szCs w:val="32"/>
    </w:rPr>
  </w:style>
  <w:style w:type="paragraph" w:styleId="699">
    <w:name w:val="Heading 3"/>
    <w:basedOn w:val="696"/>
    <w:next w:val="696"/>
    <w:link w:val="750"/>
    <w:uiPriority w:val="9"/>
    <w:qFormat/>
    <w:pPr>
      <w:keepLines/>
      <w:keepNext/>
      <w:spacing w:before="260" w:after="260" w:line="416" w:lineRule="auto"/>
      <w:outlineLvl w:val="2"/>
    </w:pPr>
    <w:rPr>
      <w:b/>
      <w:bCs/>
      <w:sz w:val="32"/>
      <w:szCs w:val="32"/>
    </w:rPr>
  </w:style>
  <w:style w:type="paragraph" w:styleId="700">
    <w:name w:val="Heading 4"/>
    <w:basedOn w:val="696"/>
    <w:next w:val="696"/>
    <w:link w:val="779"/>
    <w:uiPriority w:val="0"/>
    <w:qFormat/>
    <w:pPr>
      <w:keepLines/>
      <w:keepNext/>
      <w:spacing w:before="280" w:after="290" w:line="376" w:lineRule="auto"/>
      <w:outlineLvl w:val="3"/>
    </w:pPr>
    <w:rPr>
      <w:rFonts w:ascii="等线 Light" w:hAnsi="等线 Light" w:eastAsia="等线 Light"/>
      <w:b/>
      <w:bCs/>
      <w:sz w:val="28"/>
      <w:szCs w:val="28"/>
    </w:rPr>
  </w:style>
  <w:style w:type="paragraph" w:styleId="701">
    <w:name w:val="Heading 5"/>
    <w:basedOn w:val="696"/>
    <w:next w:val="696"/>
    <w:link w:val="787"/>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931"/>
    <w:uiPriority w:val="0"/>
    <w:qFormat/>
    <w:pPr>
      <w:keepLines/>
      <w:keepNext/>
      <w:spacing w:before="240" w:after="64" w:line="320" w:lineRule="auto"/>
      <w:outlineLvl w:val="5"/>
    </w:pPr>
    <w:rPr>
      <w:rFonts w:ascii="等线 Light" w:hAnsi="等线 Light" w:eastAsia="等线 Light"/>
      <w:b/>
      <w:bCs/>
      <w:sz w:val="24"/>
    </w:rPr>
  </w:style>
  <w:style w:type="paragraph" w:styleId="703">
    <w:name w:val="Heading 7"/>
    <w:basedOn w:val="696"/>
    <w:next w:val="696"/>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932"/>
    <w:uiPriority w:val="0"/>
    <w:qFormat/>
    <w:pPr>
      <w:keepLines/>
      <w:keepNext/>
      <w:spacing w:before="240" w:after="64" w:line="320" w:lineRule="auto"/>
      <w:outlineLvl w:val="7"/>
    </w:pPr>
    <w:rPr>
      <w:rFonts w:ascii="等线 Light" w:hAnsi="等线 Light" w:eastAsia="等线 Light"/>
      <w:sz w:val="24"/>
    </w:rPr>
  </w:style>
  <w:style w:type="paragraph" w:styleId="705">
    <w:name w:val="Heading 9"/>
    <w:basedOn w:val="696"/>
    <w:next w:val="696"/>
    <w:link w:val="791"/>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Heading 1"/>
    <w:next w:val="696"/>
    <w:uiPriority w:val="9"/>
    <w:qFormat/>
    <w:pPr>
      <w:jc w:val="both"/>
      <w:keepLines/>
      <w:keepNext/>
      <w:spacing w:before="340" w:after="330" w:line="578" w:lineRule="auto"/>
      <w:widowControl w:val="off"/>
      <w:outlineLvl w:val="0"/>
    </w:pPr>
    <w:rPr>
      <w:rFonts w:hint="default" w:ascii="Calibri" w:hAnsi="Calibri" w:eastAsia="Arial" w:cs="Arial"/>
      <w:b/>
      <w:bCs/>
      <w:sz w:val="44"/>
      <w:szCs w:val="44"/>
      <w:lang w:eastAsia="zh-CN"/>
    </w:rPr>
  </w:style>
  <w:style w:type="paragraph" w:styleId="709">
    <w:name w:val="List 3"/>
    <w:basedOn w:val="696"/>
    <w:uiPriority w:val="0"/>
    <w:qFormat/>
    <w:pPr>
      <w:contextualSpacing/>
      <w:ind w:left="100" w:hanging="200"/>
      <w:jc w:val="left"/>
      <w:widowControl/>
    </w:pPr>
    <w:rPr>
      <w:sz w:val="20"/>
      <w:szCs w:val="20"/>
    </w:rPr>
  </w:style>
  <w:style w:type="paragraph" w:styleId="710">
    <w:name w:val="toc 7"/>
    <w:basedOn w:val="696"/>
    <w:next w:val="696"/>
    <w:uiPriority w:val="39"/>
    <w:unhideWhenUsed/>
    <w:qFormat/>
    <w:pPr>
      <w:ind w:left="1701"/>
      <w:spacing w:after="57"/>
    </w:pPr>
  </w:style>
  <w:style w:type="paragraph" w:styleId="711">
    <w:name w:val="Normal Indent"/>
    <w:basedOn w:val="696"/>
    <w:link w:val="934"/>
    <w:uiPriority w:val="99"/>
    <w:qFormat/>
    <w:pPr>
      <w:ind w:firstLine="420"/>
    </w:pPr>
    <w:rPr>
      <w:szCs w:val="20"/>
    </w:rPr>
  </w:style>
  <w:style w:type="paragraph" w:styleId="712">
    <w:name w:val="Caption"/>
    <w:basedOn w:val="696"/>
    <w:next w:val="69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3">
    <w:name w:val="Document Map"/>
    <w:basedOn w:val="696"/>
    <w:link w:val="935"/>
    <w:uiPriority w:val="0"/>
    <w:qFormat/>
    <w:pPr>
      <w:shd w:val="clear" w:color="auto" w:fill="000080"/>
    </w:pPr>
  </w:style>
  <w:style w:type="paragraph" w:styleId="714">
    <w:name w:val="annotation text"/>
    <w:basedOn w:val="696"/>
    <w:link w:val="936"/>
    <w:uiPriority w:val="0"/>
    <w:qFormat/>
    <w:pPr>
      <w:jc w:val="left"/>
    </w:pPr>
  </w:style>
  <w:style w:type="paragraph" w:styleId="715">
    <w:name w:val="Body Text"/>
    <w:basedOn w:val="696"/>
    <w:link w:val="937"/>
    <w:uiPriority w:val="1"/>
    <w:qFormat/>
    <w:pPr>
      <w:spacing w:after="120"/>
    </w:pPr>
  </w:style>
  <w:style w:type="paragraph" w:styleId="716">
    <w:name w:val="Body Text Indent"/>
    <w:basedOn w:val="696"/>
    <w:next w:val="717"/>
    <w:uiPriority w:val="0"/>
    <w:qFormat/>
    <w:pPr>
      <w:ind w:left="420"/>
      <w:spacing w:after="120"/>
    </w:pPr>
  </w:style>
  <w:style w:type="paragraph" w:styleId="717">
    <w:name w:val="envelope return"/>
    <w:basedOn w:val="696"/>
    <w:uiPriority w:val="0"/>
    <w:qFormat/>
    <w:rPr>
      <w:rFonts w:ascii="Arial" w:hAnsi="Arial"/>
    </w:rPr>
  </w:style>
  <w:style w:type="paragraph" w:styleId="718">
    <w:name w:val="index 4"/>
    <w:basedOn w:val="696"/>
    <w:next w:val="696"/>
    <w:uiPriority w:val="99"/>
    <w:unhideWhenUsed/>
    <w:qFormat/>
    <w:pPr>
      <w:ind w:left="600"/>
    </w:pPr>
    <w:rPr>
      <w:rFonts w:ascii="宋体"/>
      <w:b/>
      <w:position w:val="-10"/>
      <w:sz w:val="24"/>
      <w:szCs w:val="20"/>
    </w:rPr>
  </w:style>
  <w:style w:type="paragraph" w:styleId="719">
    <w:name w:val="toc 5"/>
    <w:basedOn w:val="696"/>
    <w:next w:val="696"/>
    <w:uiPriority w:val="39"/>
    <w:unhideWhenUsed/>
    <w:qFormat/>
    <w:pPr>
      <w:ind w:left="1134"/>
      <w:spacing w:after="57"/>
    </w:pPr>
  </w:style>
  <w:style w:type="paragraph" w:styleId="720">
    <w:name w:val="toc 3"/>
    <w:basedOn w:val="696"/>
    <w:next w:val="696"/>
    <w:uiPriority w:val="39"/>
    <w:unhideWhenUsed/>
    <w:qFormat/>
    <w:pPr>
      <w:ind w:left="567"/>
      <w:spacing w:after="57"/>
    </w:pPr>
  </w:style>
  <w:style w:type="paragraph" w:styleId="721">
    <w:name w:val="Plain Text"/>
    <w:basedOn w:val="696"/>
    <w:link w:val="940"/>
    <w:uiPriority w:val="0"/>
    <w:qFormat/>
    <w:rPr>
      <w:rFonts w:ascii="宋体" w:hAnsi="Courier New" w:cs="Courier New"/>
      <w:szCs w:val="21"/>
    </w:rPr>
  </w:style>
  <w:style w:type="paragraph" w:styleId="722">
    <w:name w:val="toc 8"/>
    <w:basedOn w:val="696"/>
    <w:next w:val="696"/>
    <w:uiPriority w:val="39"/>
    <w:unhideWhenUsed/>
    <w:qFormat/>
    <w:pPr>
      <w:ind w:left="1984"/>
      <w:spacing w:after="57"/>
    </w:pPr>
  </w:style>
  <w:style w:type="paragraph" w:styleId="723">
    <w:name w:val="Date"/>
    <w:basedOn w:val="696"/>
    <w:next w:val="696"/>
    <w:link w:val="942"/>
    <w:uiPriority w:val="0"/>
    <w:qFormat/>
    <w:rPr>
      <w:sz w:val="24"/>
      <w:szCs w:val="20"/>
    </w:rPr>
  </w:style>
  <w:style w:type="paragraph" w:styleId="724">
    <w:name w:val="endnote text"/>
    <w:basedOn w:val="696"/>
    <w:link w:val="927"/>
    <w:uiPriority w:val="99"/>
    <w:semiHidden/>
    <w:unhideWhenUsed/>
    <w:qFormat/>
    <w:rPr>
      <w:sz w:val="20"/>
    </w:rPr>
  </w:style>
  <w:style w:type="paragraph" w:styleId="725">
    <w:name w:val="Balloon Text"/>
    <w:basedOn w:val="696"/>
    <w:link w:val="943"/>
    <w:uiPriority w:val="0"/>
    <w:qFormat/>
    <w:rPr>
      <w:sz w:val="18"/>
      <w:szCs w:val="18"/>
    </w:rPr>
  </w:style>
  <w:style w:type="paragraph" w:styleId="726">
    <w:name w:val="Footer"/>
    <w:basedOn w:val="696"/>
    <w:link w:val="944"/>
    <w:uiPriority w:val="99"/>
    <w:qFormat/>
    <w:pPr>
      <w:jc w:val="left"/>
      <w:tabs>
        <w:tab w:val="center" w:pos="4153" w:leader="none"/>
        <w:tab w:val="right" w:pos="8306" w:leader="none"/>
      </w:tabs>
    </w:pPr>
    <w:rPr>
      <w:sz w:val="18"/>
      <w:szCs w:val="18"/>
    </w:rPr>
  </w:style>
  <w:style w:type="paragraph" w:styleId="727">
    <w:name w:val="Header"/>
    <w:basedOn w:val="696"/>
    <w:link w:val="945"/>
    <w:uiPriority w:val="99"/>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6"/>
    <w:next w:val="696"/>
    <w:uiPriority w:val="39"/>
    <w:unhideWhenUsed/>
    <w:qFormat/>
    <w:pPr>
      <w:spacing w:after="57"/>
    </w:pPr>
  </w:style>
  <w:style w:type="paragraph" w:styleId="729">
    <w:name w:val="toc 4"/>
    <w:basedOn w:val="696"/>
    <w:next w:val="696"/>
    <w:uiPriority w:val="39"/>
    <w:unhideWhenUsed/>
    <w:qFormat/>
    <w:pPr>
      <w:ind w:left="850"/>
      <w:spacing w:after="57"/>
    </w:pPr>
  </w:style>
  <w:style w:type="paragraph" w:styleId="730">
    <w:name w:val="Subtitle"/>
    <w:basedOn w:val="696"/>
    <w:next w:val="696"/>
    <w:link w:val="793"/>
    <w:uiPriority w:val="11"/>
    <w:qFormat/>
    <w:pPr>
      <w:spacing w:before="200" w:after="200"/>
    </w:pPr>
    <w:rPr>
      <w:sz w:val="24"/>
    </w:rPr>
  </w:style>
  <w:style w:type="paragraph" w:styleId="731">
    <w:name w:val="footnote text"/>
    <w:basedOn w:val="696"/>
    <w:link w:val="926"/>
    <w:uiPriority w:val="99"/>
    <w:semiHidden/>
    <w:unhideWhenUsed/>
    <w:qFormat/>
    <w:pPr>
      <w:spacing w:after="40"/>
    </w:pPr>
    <w:rPr>
      <w:sz w:val="18"/>
    </w:rPr>
  </w:style>
  <w:style w:type="paragraph" w:styleId="732">
    <w:name w:val="toc 6"/>
    <w:basedOn w:val="696"/>
    <w:next w:val="696"/>
    <w:uiPriority w:val="39"/>
    <w:unhideWhenUsed/>
    <w:qFormat/>
    <w:pPr>
      <w:ind w:left="1417"/>
      <w:spacing w:after="57"/>
    </w:pPr>
  </w:style>
  <w:style w:type="paragraph" w:styleId="733">
    <w:name w:val="table of figures"/>
    <w:basedOn w:val="696"/>
    <w:next w:val="696"/>
    <w:uiPriority w:val="99"/>
    <w:unhideWhenUsed/>
    <w:qFormat/>
  </w:style>
  <w:style w:type="paragraph" w:styleId="734">
    <w:name w:val="toc 2"/>
    <w:basedOn w:val="696"/>
    <w:next w:val="696"/>
    <w:uiPriority w:val="99"/>
    <w:semiHidden/>
    <w:qFormat/>
    <w:pPr>
      <w:ind w:left="420"/>
    </w:pPr>
    <w:rPr>
      <w:rFonts w:eastAsia="楷体_GB2312"/>
      <w:sz w:val="26"/>
      <w:szCs w:val="26"/>
    </w:rPr>
  </w:style>
  <w:style w:type="paragraph" w:styleId="735">
    <w:name w:val="toc 9"/>
    <w:basedOn w:val="696"/>
    <w:next w:val="696"/>
    <w:uiPriority w:val="39"/>
    <w:unhideWhenUsed/>
    <w:qFormat/>
    <w:pPr>
      <w:ind w:left="2268"/>
      <w:spacing w:after="57"/>
    </w:pPr>
  </w:style>
  <w:style w:type="paragraph" w:styleId="736">
    <w:name w:val="Body Text 2"/>
    <w:basedOn w:val="696"/>
    <w:link w:val="951"/>
    <w:uiPriority w:val="0"/>
    <w:qFormat/>
    <w:pPr>
      <w:spacing w:after="120" w:line="480" w:lineRule="auto"/>
    </w:pPr>
    <w:rPr>
      <w:rFonts w:ascii="Calibri" w:hAnsi="Calibri"/>
    </w:rPr>
  </w:style>
  <w:style w:type="paragraph" w:styleId="737">
    <w:name w:val="Normal (Web)"/>
    <w:basedOn w:val="696"/>
    <w:uiPriority w:val="99"/>
    <w:qFormat/>
    <w:pPr>
      <w:jc w:val="left"/>
      <w:spacing w:before="100" w:beforeAutospacing="1" w:after="100" w:afterAutospacing="1"/>
      <w:widowControl/>
    </w:pPr>
    <w:rPr>
      <w:sz w:val="24"/>
    </w:rPr>
  </w:style>
  <w:style w:type="paragraph" w:styleId="738">
    <w:name w:val="Title"/>
    <w:basedOn w:val="696"/>
    <w:next w:val="696"/>
    <w:link w:val="952"/>
    <w:uiPriority w:val="0"/>
    <w:qFormat/>
    <w:pPr>
      <w:jc w:val="center"/>
      <w:spacing w:before="240" w:after="60" w:line="360" w:lineRule="auto"/>
      <w:outlineLvl w:val="0"/>
    </w:pPr>
    <w:rPr>
      <w:rFonts w:ascii="等线 Light" w:hAnsi="等线 Light"/>
      <w:b/>
      <w:bCs/>
      <w:sz w:val="32"/>
      <w:szCs w:val="32"/>
    </w:rPr>
  </w:style>
  <w:style w:type="paragraph" w:styleId="739">
    <w:name w:val="annotation subject"/>
    <w:basedOn w:val="714"/>
    <w:next w:val="714"/>
    <w:link w:val="953"/>
    <w:uiPriority w:val="0"/>
    <w:qFormat/>
    <w:rPr>
      <w:b/>
      <w:bCs/>
    </w:rPr>
  </w:style>
  <w:style w:type="paragraph" w:styleId="740">
    <w:name w:val="Body Text First Indent"/>
    <w:basedOn w:val="715"/>
    <w:uiPriority w:val="0"/>
    <w:qFormat/>
    <w:pPr>
      <w:ind w:firstLine="420"/>
      <w:spacing w:line="360" w:lineRule="auto"/>
    </w:pPr>
    <w:rPr>
      <w:szCs w:val="21"/>
    </w:rPr>
  </w:style>
  <w:style w:type="table" w:styleId="741">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uiPriority w:val="0"/>
    <w:qFormat/>
    <w:rPr>
      <w:b/>
      <w:bCs/>
    </w:rPr>
  </w:style>
  <w:style w:type="character" w:styleId="743">
    <w:name w:val="endnote reference"/>
    <w:basedOn w:val="706"/>
    <w:uiPriority w:val="99"/>
    <w:semiHidden/>
    <w:unhideWhenUsed/>
    <w:qFormat/>
    <w:rPr>
      <w:vertAlign w:val="superscript"/>
    </w:rPr>
  </w:style>
  <w:style w:type="character" w:styleId="744">
    <w:name w:val="page number"/>
    <w:uiPriority w:val="0"/>
    <w:qFormat/>
  </w:style>
  <w:style w:type="character" w:styleId="745">
    <w:name w:val="Emphasis"/>
    <w:uiPriority w:val="0"/>
    <w:qFormat/>
    <w:rPr>
      <w:i/>
      <w:iCs/>
    </w:rPr>
  </w:style>
  <w:style w:type="character" w:styleId="746">
    <w:name w:val="Hyperlink"/>
    <w:uiPriority w:val="99"/>
    <w:qFormat/>
    <w:rPr>
      <w:color w:val="auto"/>
      <w:u w:val="none"/>
    </w:rPr>
  </w:style>
  <w:style w:type="character" w:styleId="747">
    <w:name w:val="annotation reference"/>
    <w:uiPriority w:val="0"/>
    <w:qFormat/>
    <w:rPr>
      <w:sz w:val="21"/>
      <w:szCs w:val="21"/>
    </w:rPr>
  </w:style>
  <w:style w:type="character" w:styleId="748">
    <w:name w:val="footnote reference"/>
    <w:basedOn w:val="706"/>
    <w:uiPriority w:val="99"/>
    <w:unhideWhenUsed/>
    <w:qFormat/>
    <w:rPr>
      <w:vertAlign w:val="superscript"/>
    </w:rPr>
  </w:style>
  <w:style w:type="character" w:styleId="749" w:customStyle="1">
    <w:name w:val="标题 2 字符"/>
    <w:link w:val="698"/>
    <w:uiPriority w:val="0"/>
    <w:semiHidden/>
    <w:qFormat/>
    <w:rPr>
      <w:rFonts w:ascii="等线 Light" w:hAnsi="等线 Light" w:eastAsia="等线 Light" w:cs="Times New Roman"/>
      <w:b/>
      <w:bCs/>
      <w:sz w:val="32"/>
      <w:szCs w:val="32"/>
    </w:rPr>
  </w:style>
  <w:style w:type="character" w:styleId="750" w:customStyle="1">
    <w:name w:val="标题 3 字符"/>
    <w:link w:val="699"/>
    <w:uiPriority w:val="9"/>
    <w:qFormat/>
    <w:rPr>
      <w:rFonts w:eastAsia="宋体"/>
      <w:b/>
      <w:bCs/>
      <w:sz w:val="32"/>
      <w:szCs w:val="32"/>
      <w:lang w:val="en-US" w:eastAsia="zh-CN" w:bidi="ar-SA"/>
    </w:rPr>
  </w:style>
  <w:style w:type="character" w:styleId="751" w:customStyle="1">
    <w:name w:val="Heading 5 Char"/>
    <w:basedOn w:val="706"/>
    <w:uiPriority w:val="9"/>
    <w:qFormat/>
    <w:rPr>
      <w:rFonts w:ascii="Arial" w:hAnsi="Arial" w:eastAsia="Arial" w:cs="Arial"/>
      <w:b/>
      <w:bCs/>
      <w:sz w:val="24"/>
      <w:szCs w:val="24"/>
    </w:rPr>
  </w:style>
  <w:style w:type="character" w:styleId="752" w:customStyle="1">
    <w:name w:val="Heading 7 Char"/>
    <w:basedOn w:val="706"/>
    <w:uiPriority w:val="9"/>
    <w:qFormat/>
    <w:rPr>
      <w:rFonts w:ascii="Arial" w:hAnsi="Arial" w:eastAsia="Arial" w:cs="Arial"/>
      <w:b/>
      <w:bCs/>
      <w:i/>
      <w:iCs/>
      <w:sz w:val="22"/>
      <w:szCs w:val="22"/>
    </w:rPr>
  </w:style>
  <w:style w:type="character" w:styleId="753" w:customStyle="1">
    <w:name w:val="Heading 9 Char"/>
    <w:basedOn w:val="706"/>
    <w:uiPriority w:val="9"/>
    <w:qFormat/>
    <w:rPr>
      <w:rFonts w:ascii="Arial" w:hAnsi="Arial" w:eastAsia="Arial" w:cs="Arial"/>
      <w:i/>
      <w:iCs/>
      <w:sz w:val="21"/>
      <w:szCs w:val="21"/>
    </w:rPr>
  </w:style>
  <w:style w:type="character" w:styleId="754" w:customStyle="1">
    <w:name w:val="Subtitle Char"/>
    <w:basedOn w:val="706"/>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table" w:styleId="757"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Heading"/>
    <w:uiPriority w:val="39"/>
    <w:unhideWhenUsed/>
    <w:qFormat/>
    <w:rPr>
      <w:rFonts w:hint="default" w:ascii="Times New Roman" w:hAnsi="Times New Roman" w:eastAsia="宋体" w:cs="Times New Roman"/>
    </w:rPr>
  </w:style>
  <w:style w:type="character" w:styleId="779" w:customStyle="1">
    <w:name w:val="标题 4 字符"/>
    <w:link w:val="700"/>
    <w:uiPriority w:val="0"/>
    <w:semiHidden/>
    <w:qFormat/>
    <w:rPr>
      <w:rFonts w:ascii="等线 Light" w:hAnsi="等线 Light" w:eastAsia="等线 Light" w:cs="Times New Roman"/>
      <w:b/>
      <w:bCs/>
      <w:sz w:val="28"/>
      <w:szCs w:val="28"/>
    </w:rPr>
  </w:style>
  <w:style w:type="paragraph" w:styleId="780" w:customStyle="1">
    <w:name w:val="首行缩进"/>
    <w:basedOn w:val="696"/>
    <w:uiPriority w:val="0"/>
    <w:qFormat/>
    <w:pPr>
      <w:spacing w:line="360" w:lineRule="auto"/>
    </w:pPr>
  </w:style>
  <w:style w:type="paragraph" w:styleId="781" w:customStyle="1">
    <w:name w:val="正文文本1"/>
    <w:basedOn w:val="782"/>
    <w:next w:val="696"/>
    <w:uiPriority w:val="0"/>
    <w:qFormat/>
    <w:pPr>
      <w:spacing w:after="120"/>
    </w:pPr>
    <w:rPr>
      <w:sz w:val="28"/>
    </w:rPr>
  </w:style>
  <w:style w:type="paragraph" w:styleId="782" w:customStyle="1">
    <w:name w:val="正文1"/>
    <w:uiPriority w:val="0"/>
    <w:qFormat/>
    <w:pPr>
      <w:jc w:val="both"/>
      <w:widowControl w:val="off"/>
    </w:pPr>
    <w:rPr>
      <w:rFonts w:hint="default" w:ascii="Calibri" w:hAnsi="Calibri" w:eastAsia="宋体" w:cs="Times New Roman"/>
      <w:sz w:val="21"/>
      <w:szCs w:val="22"/>
    </w:rPr>
  </w:style>
  <w:style w:type="character" w:styleId="783" w:customStyle="1">
    <w:name w:val="Heading 1 Char"/>
    <w:basedOn w:val="706"/>
    <w:uiPriority w:val="9"/>
    <w:qFormat/>
    <w:rPr>
      <w:rFonts w:ascii="Arial" w:hAnsi="Arial" w:eastAsia="Arial" w:cs="Arial"/>
      <w:sz w:val="40"/>
      <w:szCs w:val="40"/>
    </w:rPr>
  </w:style>
  <w:style w:type="character" w:styleId="784" w:customStyle="1">
    <w:name w:val="Heading 2 Char"/>
    <w:basedOn w:val="706"/>
    <w:uiPriority w:val="9"/>
    <w:qFormat/>
    <w:rPr>
      <w:rFonts w:ascii="Arial" w:hAnsi="Arial" w:eastAsia="Arial" w:cs="Arial"/>
      <w:sz w:val="34"/>
    </w:rPr>
  </w:style>
  <w:style w:type="character" w:styleId="785" w:customStyle="1">
    <w:name w:val="Heading 3 Char"/>
    <w:basedOn w:val="706"/>
    <w:uiPriority w:val="9"/>
    <w:qFormat/>
    <w:rPr>
      <w:rFonts w:ascii="Arial" w:hAnsi="Arial" w:eastAsia="Arial" w:cs="Arial"/>
      <w:sz w:val="30"/>
      <w:szCs w:val="30"/>
    </w:rPr>
  </w:style>
  <w:style w:type="character" w:styleId="786" w:customStyle="1">
    <w:name w:val="Heading 4 Char"/>
    <w:basedOn w:val="706"/>
    <w:uiPriority w:val="9"/>
    <w:qFormat/>
    <w:rPr>
      <w:rFonts w:ascii="Arial" w:hAnsi="Arial" w:eastAsia="Arial" w:cs="Arial"/>
      <w:b/>
      <w:bCs/>
      <w:sz w:val="26"/>
      <w:szCs w:val="26"/>
    </w:rPr>
  </w:style>
  <w:style w:type="character" w:styleId="787" w:customStyle="1">
    <w:name w:val="标题 5 字符"/>
    <w:basedOn w:val="706"/>
    <w:link w:val="701"/>
    <w:uiPriority w:val="9"/>
    <w:qFormat/>
    <w:rPr>
      <w:rFonts w:ascii="Arial" w:hAnsi="Arial" w:eastAsia="Arial" w:cs="Arial"/>
      <w:b/>
      <w:bCs/>
      <w:sz w:val="24"/>
      <w:szCs w:val="24"/>
    </w:rPr>
  </w:style>
  <w:style w:type="character" w:styleId="788" w:customStyle="1">
    <w:name w:val="Heading 6 Char"/>
    <w:basedOn w:val="706"/>
    <w:uiPriority w:val="9"/>
    <w:qFormat/>
    <w:rPr>
      <w:rFonts w:ascii="Arial" w:hAnsi="Arial" w:eastAsia="Arial" w:cs="Arial"/>
      <w:b/>
      <w:bCs/>
      <w:sz w:val="22"/>
      <w:szCs w:val="22"/>
    </w:rPr>
  </w:style>
  <w:style w:type="character" w:styleId="789" w:customStyle="1">
    <w:name w:val="标题 7 字符"/>
    <w:basedOn w:val="706"/>
    <w:link w:val="703"/>
    <w:uiPriority w:val="9"/>
    <w:qFormat/>
    <w:rPr>
      <w:rFonts w:ascii="Arial" w:hAnsi="Arial" w:eastAsia="Arial" w:cs="Arial"/>
      <w:b/>
      <w:bCs/>
      <w:i/>
      <w:iCs/>
      <w:sz w:val="22"/>
      <w:szCs w:val="22"/>
    </w:rPr>
  </w:style>
  <w:style w:type="character" w:styleId="790" w:customStyle="1">
    <w:name w:val="Heading 8 Char"/>
    <w:basedOn w:val="706"/>
    <w:uiPriority w:val="9"/>
    <w:qFormat/>
    <w:rPr>
      <w:rFonts w:ascii="Arial" w:hAnsi="Arial" w:eastAsia="Arial" w:cs="Arial"/>
      <w:i/>
      <w:iCs/>
      <w:sz w:val="22"/>
      <w:szCs w:val="22"/>
    </w:rPr>
  </w:style>
  <w:style w:type="character" w:styleId="791" w:customStyle="1">
    <w:name w:val="标题 9 字符"/>
    <w:basedOn w:val="706"/>
    <w:link w:val="705"/>
    <w:uiPriority w:val="9"/>
    <w:qFormat/>
    <w:rPr>
      <w:rFonts w:ascii="Arial" w:hAnsi="Arial" w:eastAsia="Arial" w:cs="Arial"/>
      <w:i/>
      <w:iCs/>
      <w:sz w:val="21"/>
      <w:szCs w:val="21"/>
    </w:rPr>
  </w:style>
  <w:style w:type="character" w:styleId="792" w:customStyle="1">
    <w:name w:val="Title Char"/>
    <w:basedOn w:val="706"/>
    <w:uiPriority w:val="10"/>
    <w:qFormat/>
    <w:rPr>
      <w:sz w:val="48"/>
      <w:szCs w:val="48"/>
    </w:rPr>
  </w:style>
  <w:style w:type="character" w:styleId="793" w:customStyle="1">
    <w:name w:val="副标题 字符"/>
    <w:basedOn w:val="706"/>
    <w:link w:val="730"/>
    <w:uiPriority w:val="11"/>
    <w:qFormat/>
    <w:rPr>
      <w:sz w:val="24"/>
      <w:szCs w:val="24"/>
    </w:rPr>
  </w:style>
  <w:style w:type="paragraph" w:styleId="794">
    <w:name w:val="Quote"/>
    <w:basedOn w:val="696"/>
    <w:next w:val="696"/>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96"/>
    <w:next w:val="696"/>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Header Char"/>
    <w:basedOn w:val="706"/>
    <w:uiPriority w:val="99"/>
    <w:qFormat/>
  </w:style>
  <w:style w:type="character" w:styleId="799" w:customStyle="1">
    <w:name w:val="Footer Char"/>
    <w:basedOn w:val="706"/>
    <w:uiPriority w:val="99"/>
    <w:qFormat/>
  </w:style>
  <w:style w:type="character" w:styleId="800" w:customStyle="1">
    <w:name w:val="Caption Char"/>
    <w:uiPriority w:val="99"/>
    <w:qFormat/>
  </w:style>
  <w:style w:type="table" w:styleId="801"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2"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1"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0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0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0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0"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1"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2"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3" w:customStyle="1">
    <w:name w:val="Grid Table 4 - Accent 5"/>
    <w:basedOn w:val="70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4"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5"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7"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8"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9"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0"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1"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2"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basedOn w:val="70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4"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5"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6"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7" w:customStyle="1">
    <w:name w:val="Grid Table 6 Colorful - Accent 5"/>
    <w:basedOn w:val="70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8"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9"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0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0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0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0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basedOn w:val="70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5"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6"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7"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8" w:customStyle="1">
    <w:name w:val="List Table 2 - Accent 5"/>
    <w:basedOn w:val="70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9"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0"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0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2"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0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7"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0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9"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0"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1"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2" w:customStyle="1">
    <w:name w:val="List Table 4 - Accent 5"/>
    <w:basedOn w:val="70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3"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4"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basedOn w:val="70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0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basedOn w:val="70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3"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4"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5"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6" w:customStyle="1">
    <w:name w:val="List Table 6 Colorful - Accent 5"/>
    <w:basedOn w:val="70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7"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8"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0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0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7"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1"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basedOn w:val="70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4"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5"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6"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7" w:customStyle="1">
    <w:name w:val="Bordered &amp; Lined - Accent 5"/>
    <w:basedOn w:val="70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8"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9"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basedOn w:val="70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1"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2"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3"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4" w:customStyle="1">
    <w:name w:val="Bordered - Accent 5"/>
    <w:basedOn w:val="70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5"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6" w:customStyle="1">
    <w:name w:val="脚注文本 字符"/>
    <w:link w:val="731"/>
    <w:uiPriority w:val="99"/>
    <w:qFormat/>
    <w:rPr>
      <w:sz w:val="18"/>
    </w:rPr>
  </w:style>
  <w:style w:type="character" w:styleId="927" w:customStyle="1">
    <w:name w:val="尾注文本 字符"/>
    <w:link w:val="724"/>
    <w:uiPriority w:val="99"/>
    <w:qFormat/>
    <w:rPr>
      <w:sz w:val="20"/>
    </w:rPr>
  </w:style>
  <w:style w:type="paragraph" w:styleId="928" w:customStyle="1">
    <w:name w:val="TOC 标题1"/>
    <w:uiPriority w:val="39"/>
    <w:unhideWhenUsed/>
    <w:qFormat/>
    <w:rPr>
      <w:rFonts w:hint="default" w:ascii="Times New Roman" w:hAnsi="Times New Roman" w:eastAsia="宋体" w:cs="Times New Roman"/>
    </w:rPr>
  </w:style>
  <w:style w:type="paragraph" w:styleId="929" w:customStyle="1">
    <w:name w:val="正文文本11"/>
    <w:basedOn w:val="696"/>
    <w:uiPriority w:val="99"/>
    <w:qFormat/>
    <w:rPr>
      <w:rFonts w:ascii="楷体_GB2312" w:hAnsi="宋体" w:eastAsia="楷体_GB2312"/>
      <w:sz w:val="28"/>
      <w:szCs w:val="28"/>
    </w:rPr>
  </w:style>
  <w:style w:type="character" w:styleId="930" w:customStyle="1">
    <w:name w:val="标题 1 字符"/>
    <w:link w:val="697"/>
    <w:uiPriority w:val="0"/>
    <w:qFormat/>
    <w:rPr>
      <w:b/>
      <w:bCs/>
      <w:sz w:val="21"/>
      <w:szCs w:val="44"/>
    </w:rPr>
  </w:style>
  <w:style w:type="character" w:styleId="931" w:customStyle="1">
    <w:name w:val="标题 6 字符"/>
    <w:link w:val="702"/>
    <w:uiPriority w:val="0"/>
    <w:qFormat/>
    <w:rPr>
      <w:rFonts w:ascii="等线 Light" w:hAnsi="等线 Light" w:eastAsia="等线 Light" w:cs="Times New Roman"/>
      <w:b/>
      <w:bCs/>
      <w:sz w:val="24"/>
      <w:szCs w:val="24"/>
    </w:rPr>
  </w:style>
  <w:style w:type="character" w:styleId="932" w:customStyle="1">
    <w:name w:val="标题 8 字符"/>
    <w:link w:val="704"/>
    <w:uiPriority w:val="0"/>
    <w:semiHidden/>
    <w:qFormat/>
    <w:rPr>
      <w:rFonts w:ascii="等线 Light" w:hAnsi="等线 Light" w:eastAsia="等线 Light" w:cs="Times New Roman"/>
      <w:sz w:val="24"/>
      <w:szCs w:val="24"/>
    </w:rPr>
  </w:style>
  <w:style w:type="paragraph" w:styleId="933" w:customStyle="1">
    <w:name w:val="目录 71"/>
    <w:basedOn w:val="696"/>
    <w:next w:val="696"/>
    <w:uiPriority w:val="39"/>
    <w:unhideWhenUsed/>
    <w:qFormat/>
    <w:pPr>
      <w:ind w:left="2520"/>
    </w:pPr>
    <w:rPr>
      <w:rFonts w:ascii="等线" w:hAnsi="等线" w:eastAsia="等线"/>
      <w:szCs w:val="22"/>
    </w:rPr>
  </w:style>
  <w:style w:type="character" w:styleId="934" w:customStyle="1">
    <w:name w:val="正文缩进 字符"/>
    <w:link w:val="711"/>
    <w:uiPriority w:val="0"/>
    <w:qFormat/>
    <w:rPr>
      <w:sz w:val="21"/>
    </w:rPr>
  </w:style>
  <w:style w:type="character" w:styleId="935" w:customStyle="1">
    <w:name w:val="文档结构图 字符"/>
    <w:link w:val="713"/>
    <w:uiPriority w:val="0"/>
    <w:qFormat/>
    <w:rPr>
      <w:sz w:val="21"/>
      <w:szCs w:val="24"/>
      <w:shd w:val="clear" w:color="auto" w:fill="000080"/>
    </w:rPr>
  </w:style>
  <w:style w:type="character" w:styleId="936" w:customStyle="1">
    <w:name w:val="批注文字 字符"/>
    <w:link w:val="714"/>
    <w:uiPriority w:val="0"/>
    <w:qFormat/>
    <w:rPr>
      <w:sz w:val="21"/>
      <w:szCs w:val="24"/>
    </w:rPr>
  </w:style>
  <w:style w:type="character" w:styleId="937" w:customStyle="1">
    <w:name w:val="正文文本 字符"/>
    <w:link w:val="715"/>
    <w:uiPriority w:val="1"/>
    <w:qFormat/>
    <w:rPr>
      <w:sz w:val="21"/>
      <w:szCs w:val="24"/>
    </w:rPr>
  </w:style>
  <w:style w:type="paragraph" w:styleId="938" w:customStyle="1">
    <w:name w:val="目录 51"/>
    <w:basedOn w:val="696"/>
    <w:next w:val="696"/>
    <w:uiPriority w:val="39"/>
    <w:unhideWhenUsed/>
    <w:qFormat/>
    <w:pPr>
      <w:ind w:left="1680"/>
    </w:pPr>
    <w:rPr>
      <w:rFonts w:ascii="等线" w:hAnsi="等线" w:eastAsia="等线"/>
      <w:szCs w:val="22"/>
    </w:rPr>
  </w:style>
  <w:style w:type="paragraph" w:styleId="939" w:customStyle="1">
    <w:name w:val="目录 31"/>
    <w:basedOn w:val="696"/>
    <w:next w:val="696"/>
    <w:uiPriority w:val="39"/>
    <w:unhideWhenUsed/>
    <w:qFormat/>
    <w:pPr>
      <w:ind w:left="440"/>
      <w:jc w:val="left"/>
      <w:spacing w:after="100" w:line="259" w:lineRule="auto"/>
      <w:widowControl/>
    </w:pPr>
    <w:rPr>
      <w:rFonts w:ascii="等线" w:hAnsi="等线" w:eastAsia="等线"/>
      <w:sz w:val="22"/>
      <w:szCs w:val="22"/>
    </w:rPr>
  </w:style>
  <w:style w:type="character" w:styleId="940" w:customStyle="1">
    <w:name w:val="纯文本 字符"/>
    <w:link w:val="721"/>
    <w:uiPriority w:val="0"/>
    <w:qFormat/>
    <w:rPr>
      <w:rFonts w:ascii="宋体" w:hAnsi="Courier New" w:cs="Courier New"/>
      <w:sz w:val="21"/>
      <w:szCs w:val="21"/>
    </w:rPr>
  </w:style>
  <w:style w:type="paragraph" w:styleId="941" w:customStyle="1">
    <w:name w:val="目录 81"/>
    <w:basedOn w:val="696"/>
    <w:next w:val="696"/>
    <w:uiPriority w:val="39"/>
    <w:unhideWhenUsed/>
    <w:qFormat/>
    <w:pPr>
      <w:ind w:left="2940"/>
    </w:pPr>
    <w:rPr>
      <w:rFonts w:ascii="等线" w:hAnsi="等线" w:eastAsia="等线"/>
      <w:szCs w:val="22"/>
    </w:rPr>
  </w:style>
  <w:style w:type="character" w:styleId="942" w:customStyle="1">
    <w:name w:val="日期 字符"/>
    <w:link w:val="723"/>
    <w:uiPriority w:val="0"/>
    <w:qFormat/>
    <w:rPr>
      <w:sz w:val="24"/>
    </w:rPr>
  </w:style>
  <w:style w:type="character" w:styleId="943" w:customStyle="1">
    <w:name w:val="批注框文本 字符"/>
    <w:link w:val="725"/>
    <w:uiPriority w:val="0"/>
    <w:qFormat/>
    <w:rPr>
      <w:sz w:val="18"/>
      <w:szCs w:val="18"/>
    </w:rPr>
  </w:style>
  <w:style w:type="character" w:styleId="944" w:customStyle="1">
    <w:name w:val="页脚 字符"/>
    <w:link w:val="726"/>
    <w:uiPriority w:val="99"/>
    <w:qFormat/>
    <w:rPr>
      <w:sz w:val="18"/>
      <w:szCs w:val="18"/>
    </w:rPr>
  </w:style>
  <w:style w:type="character" w:styleId="945" w:customStyle="1">
    <w:name w:val="页眉 字符"/>
    <w:link w:val="727"/>
    <w:uiPriority w:val="99"/>
    <w:qFormat/>
    <w:rPr>
      <w:sz w:val="18"/>
      <w:szCs w:val="18"/>
    </w:rPr>
  </w:style>
  <w:style w:type="paragraph" w:styleId="946" w:customStyle="1">
    <w:name w:val="目录 11"/>
    <w:basedOn w:val="696"/>
    <w:next w:val="696"/>
    <w:uiPriority w:val="39"/>
    <w:qFormat/>
    <w:rPr>
      <w:rFonts w:ascii="仿宋_GB2312" w:eastAsia="仿宋_GB2312"/>
      <w:sz w:val="24"/>
    </w:rPr>
  </w:style>
  <w:style w:type="paragraph" w:styleId="947" w:customStyle="1">
    <w:name w:val="目录 41"/>
    <w:basedOn w:val="696"/>
    <w:next w:val="696"/>
    <w:uiPriority w:val="39"/>
    <w:unhideWhenUsed/>
    <w:qFormat/>
    <w:pPr>
      <w:ind w:left="1260"/>
    </w:pPr>
    <w:rPr>
      <w:rFonts w:ascii="等线" w:hAnsi="等线" w:eastAsia="等线"/>
      <w:szCs w:val="22"/>
    </w:rPr>
  </w:style>
  <w:style w:type="paragraph" w:styleId="948" w:customStyle="1">
    <w:name w:val="目录 61"/>
    <w:basedOn w:val="696"/>
    <w:next w:val="696"/>
    <w:uiPriority w:val="39"/>
    <w:unhideWhenUsed/>
    <w:qFormat/>
    <w:pPr>
      <w:ind w:left="2100"/>
    </w:pPr>
    <w:rPr>
      <w:rFonts w:ascii="等线" w:hAnsi="等线" w:eastAsia="等线"/>
      <w:szCs w:val="22"/>
    </w:rPr>
  </w:style>
  <w:style w:type="paragraph" w:styleId="949" w:customStyle="1">
    <w:name w:val="目录 21"/>
    <w:basedOn w:val="696"/>
    <w:next w:val="696"/>
    <w:uiPriority w:val="39"/>
    <w:unhideWhenUsed/>
    <w:qFormat/>
    <w:pPr>
      <w:ind w:left="220"/>
      <w:jc w:val="left"/>
      <w:spacing w:after="100" w:line="259" w:lineRule="auto"/>
      <w:widowControl/>
    </w:pPr>
    <w:rPr>
      <w:rFonts w:ascii="等线" w:hAnsi="等线" w:eastAsia="等线"/>
      <w:sz w:val="22"/>
      <w:szCs w:val="22"/>
    </w:rPr>
  </w:style>
  <w:style w:type="paragraph" w:styleId="950" w:customStyle="1">
    <w:name w:val="目录 91"/>
    <w:basedOn w:val="696"/>
    <w:next w:val="696"/>
    <w:uiPriority w:val="39"/>
    <w:unhideWhenUsed/>
    <w:qFormat/>
    <w:pPr>
      <w:ind w:left="3360"/>
    </w:pPr>
    <w:rPr>
      <w:rFonts w:ascii="等线" w:hAnsi="等线" w:eastAsia="等线"/>
      <w:szCs w:val="22"/>
    </w:rPr>
  </w:style>
  <w:style w:type="character" w:styleId="951" w:customStyle="1">
    <w:name w:val="正文文本 2 字符"/>
    <w:link w:val="736"/>
    <w:uiPriority w:val="0"/>
    <w:qFormat/>
    <w:rPr>
      <w:rFonts w:ascii="Calibri" w:hAnsi="Calibri"/>
      <w:sz w:val="21"/>
      <w:szCs w:val="24"/>
    </w:rPr>
  </w:style>
  <w:style w:type="character" w:styleId="952" w:customStyle="1">
    <w:name w:val="标题 字符"/>
    <w:link w:val="738"/>
    <w:uiPriority w:val="0"/>
    <w:qFormat/>
    <w:rPr>
      <w:rFonts w:ascii="等线 Light" w:hAnsi="等线 Light" w:eastAsia="宋体" w:cs="Times New Roman"/>
      <w:b/>
      <w:bCs/>
      <w:sz w:val="32"/>
      <w:szCs w:val="32"/>
    </w:rPr>
  </w:style>
  <w:style w:type="character" w:styleId="953" w:customStyle="1">
    <w:name w:val="批注主题 字符"/>
    <w:link w:val="739"/>
    <w:uiPriority w:val="0"/>
    <w:qFormat/>
    <w:rPr>
      <w:b/>
      <w:bCs/>
      <w:sz w:val="21"/>
      <w:szCs w:val="24"/>
    </w:rPr>
  </w:style>
  <w:style w:type="character" w:styleId="954" w:customStyle="1">
    <w:name w:val="p0 Char"/>
    <w:link w:val="955"/>
    <w:uiPriority w:val="0"/>
    <w:qFormat/>
    <w:rPr>
      <w:rFonts w:eastAsia="宋体"/>
      <w:sz w:val="21"/>
      <w:szCs w:val="21"/>
      <w:lang w:val="en-US" w:eastAsia="zh-CN" w:bidi="ar-SA"/>
    </w:rPr>
  </w:style>
  <w:style w:type="paragraph" w:styleId="955" w:customStyle="1">
    <w:name w:val="p0"/>
    <w:basedOn w:val="696"/>
    <w:link w:val="954"/>
    <w:uiPriority w:val="0"/>
    <w:qFormat/>
    <w:pPr>
      <w:widowControl/>
    </w:pPr>
    <w:rPr>
      <w:szCs w:val="21"/>
    </w:rPr>
  </w:style>
  <w:style w:type="character" w:styleId="956" w:customStyle="1">
    <w:name w:val="标题 2 Char Char Char"/>
    <w:uiPriority w:val="0"/>
    <w:qFormat/>
    <w:rPr>
      <w:rFonts w:ascii="Arial" w:hAnsi="Arial" w:eastAsia="黑体"/>
      <w:b/>
      <w:bCs/>
      <w:sz w:val="32"/>
      <w:szCs w:val="32"/>
      <w:lang w:val="en-US" w:eastAsia="zh-CN" w:bidi="ar-SA"/>
    </w:rPr>
  </w:style>
  <w:style w:type="character" w:styleId="957" w:customStyle="1">
    <w:name w:val="NormalCharacter"/>
    <w:uiPriority w:val="0"/>
    <w:semiHidden/>
    <w:qFormat/>
  </w:style>
  <w:style w:type="paragraph" w:styleId="958" w:customStyle="1">
    <w:name w:val="标题 21"/>
    <w:basedOn w:val="696"/>
    <w:next w:val="696"/>
    <w:uiPriority w:val="0"/>
    <w:qFormat/>
    <w:pPr>
      <w:jc w:val="center"/>
      <w:keepNext/>
      <w:widowControl/>
    </w:pPr>
    <w:rPr>
      <w:rFonts w:ascii="楷体_GB2312" w:eastAsia="楷体_GB2312"/>
      <w:sz w:val="18"/>
      <w:szCs w:val="20"/>
    </w:rPr>
  </w:style>
  <w:style w:type="paragraph" w:styleId="959" w:customStyle="1">
    <w:name w:val="TOC 标题11"/>
    <w:basedOn w:val="697"/>
    <w:next w:val="69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0">
    <w:name w:val="No Spacing"/>
    <w:uiPriority w:val="1"/>
    <w:qFormat/>
    <w:pPr>
      <w:jc w:val="both"/>
      <w:widowControl w:val="off"/>
    </w:pPr>
    <w:rPr>
      <w:rFonts w:hint="default" w:ascii="Times New Roman" w:hAnsi="Times New Roman" w:eastAsia="宋体" w:cs="Times New Roman"/>
      <w:sz w:val="21"/>
      <w:szCs w:val="24"/>
    </w:rPr>
  </w:style>
  <w:style w:type="paragraph" w:styleId="961" w:customStyle="1">
    <w:name w:val="样式1"/>
    <w:basedOn w:val="697"/>
    <w:link w:val="962"/>
    <w:uiPriority w:val="0"/>
    <w:qFormat/>
    <w:pPr>
      <w:ind w:left="210" w:right="210"/>
    </w:pPr>
  </w:style>
  <w:style w:type="character" w:styleId="962" w:customStyle="1">
    <w:name w:val="样式1 字符"/>
    <w:link w:val="961"/>
    <w:uiPriority w:val="0"/>
    <w:qFormat/>
  </w:style>
  <w:style w:type="paragraph" w:styleId="963" w:customStyle="1">
    <w:name w:val="标题 211"/>
    <w:basedOn w:val="69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4" w:customStyle="1">
    <w:name w:val="列出段落1"/>
    <w:basedOn w:val="696"/>
    <w:uiPriority w:val="1"/>
    <w:qFormat/>
    <w:pPr>
      <w:ind w:left="400" w:firstLine="420"/>
      <w:jc w:val="left"/>
    </w:pPr>
    <w:rPr>
      <w:rFonts w:ascii="宋体" w:hAnsi="宋体" w:cs="宋体"/>
      <w:sz w:val="22"/>
      <w:szCs w:val="22"/>
      <w:lang w:val="zh-CN" w:bidi="zh-CN"/>
    </w:rPr>
  </w:style>
  <w:style w:type="paragraph" w:styleId="965" w:customStyle="1">
    <w:name w:val="Table Paragraph"/>
    <w:basedOn w:val="696"/>
    <w:uiPriority w:val="1"/>
    <w:qFormat/>
    <w:pPr>
      <w:jc w:val="left"/>
    </w:pPr>
    <w:rPr>
      <w:rFonts w:ascii="宋体" w:hAnsi="宋体" w:cs="宋体"/>
      <w:sz w:val="22"/>
      <w:szCs w:val="22"/>
      <w:lang w:val="zh-CN" w:bidi="zh-CN"/>
    </w:rPr>
  </w:style>
  <w:style w:type="character" w:styleId="966" w:customStyle="1">
    <w:name w:val="ask-title2"/>
    <w:uiPriority w:val="0"/>
    <w:qFormat/>
  </w:style>
  <w:style w:type="paragraph" w:styleId="967" w:customStyle="1">
    <w:name w:val="列出段落2"/>
    <w:basedOn w:val="696"/>
    <w:uiPriority w:val="99"/>
    <w:unhideWhenUsed/>
    <w:qFormat/>
    <w:pPr>
      <w:ind w:firstLine="420"/>
      <w:jc w:val="left"/>
    </w:pPr>
    <w:rPr>
      <w:rFonts w:ascii="宋体"/>
      <w:sz w:val="20"/>
      <w:szCs w:val="20"/>
    </w:rPr>
  </w:style>
  <w:style w:type="paragraph" w:styleId="968" w:customStyle="1">
    <w:name w:val="纯文本1"/>
    <w:basedOn w:val="696"/>
    <w:uiPriority w:val="0"/>
    <w:qFormat/>
    <w:rPr>
      <w:rFonts w:ascii="宋体" w:hAnsi="Courier New"/>
      <w:sz w:val="20"/>
      <w:szCs w:val="21"/>
    </w:rPr>
  </w:style>
  <w:style w:type="character" w:styleId="969" w:customStyle="1">
    <w:name w:val="纯文本 Char2"/>
    <w:uiPriority w:val="0"/>
    <w:qFormat/>
    <w:rPr>
      <w:rFonts w:ascii="宋体" w:hAnsi="Courier New"/>
      <w:sz w:val="21"/>
    </w:rPr>
  </w:style>
  <w:style w:type="paragraph" w:styleId="970" w:customStyle="1">
    <w:name w:val="列出段落11"/>
    <w:basedOn w:val="696"/>
    <w:uiPriority w:val="0"/>
    <w:qFormat/>
    <w:pPr>
      <w:ind w:firstLine="420"/>
      <w:spacing w:line="0" w:lineRule="atLeast"/>
    </w:pPr>
    <w:rPr>
      <w:rFonts w:eastAsia="微软雅黑"/>
      <w:sz w:val="20"/>
      <w:szCs w:val="20"/>
    </w:rPr>
  </w:style>
  <w:style w:type="character" w:styleId="971" w:customStyle="1">
    <w:name w:val="纯文本 Char"/>
    <w:link w:val="972"/>
    <w:uiPriority w:val="0"/>
    <w:qFormat/>
    <w:rPr>
      <w:rFonts w:ascii="宋体" w:hAnsi="Courier New"/>
    </w:rPr>
  </w:style>
  <w:style w:type="paragraph" w:styleId="972" w:customStyle="1">
    <w:name w:val="纯文本2"/>
    <w:basedOn w:val="696"/>
    <w:link w:val="971"/>
    <w:uiPriority w:val="0"/>
    <w:qFormat/>
    <w:pPr>
      <w:ind w:firstLine="200"/>
      <w:spacing w:line="360" w:lineRule="auto"/>
    </w:pPr>
    <w:rPr>
      <w:rFonts w:ascii="宋体" w:hAnsi="Courier New"/>
      <w:sz w:val="20"/>
      <w:szCs w:val="20"/>
    </w:rPr>
  </w:style>
  <w:style w:type="character" w:styleId="973" w:customStyle="1">
    <w:name w:val="页脚 Char"/>
    <w:uiPriority w:val="0"/>
    <w:qFormat/>
    <w:rPr>
      <w:sz w:val="18"/>
      <w:szCs w:val="18"/>
    </w:rPr>
  </w:style>
  <w:style w:type="paragraph" w:styleId="974" w:customStyle="1">
    <w:name w:val="_Style 83"/>
    <w:basedOn w:val="696"/>
    <w:next w:val="964"/>
    <w:uiPriority w:val="99"/>
    <w:qFormat/>
    <w:pPr>
      <w:ind w:firstLine="420"/>
    </w:pPr>
  </w:style>
  <w:style w:type="character" w:styleId="975">
    <w:name w:val="Placeholder Text"/>
    <w:basedOn w:val="706"/>
    <w:uiPriority w:val="99"/>
    <w:unhideWhenUsed/>
    <w:qFormat/>
    <w:rPr>
      <w:color w:val="808080"/>
    </w:rPr>
  </w:style>
  <w:style w:type="paragraph" w:styleId="976" w:customStyle="1">
    <w:name w:val="pf0"/>
    <w:basedOn w:val="696"/>
    <w:uiPriority w:val="0"/>
    <w:qFormat/>
    <w:pPr>
      <w:jc w:val="left"/>
      <w:spacing w:before="100" w:beforeAutospacing="1" w:after="100" w:afterAutospacing="1"/>
      <w:widowControl/>
    </w:pPr>
    <w:rPr>
      <w:rFonts w:ascii="宋体" w:hAnsi="宋体" w:cs="宋体"/>
      <w:sz w:val="24"/>
    </w:rPr>
  </w:style>
  <w:style w:type="character" w:styleId="977" w:customStyle="1">
    <w:name w:val="cf01"/>
    <w:basedOn w:val="706"/>
    <w:uiPriority w:val="0"/>
    <w:qFormat/>
    <w:rPr>
      <w:rFonts w:hint="eastAsia" w:ascii="Microsoft YaHei UI" w:hAnsi="Microsoft YaHei UI" w:eastAsia="Microsoft YaHei UI"/>
      <w:sz w:val="18"/>
      <w:szCs w:val="18"/>
    </w:rPr>
  </w:style>
  <w:style w:type="character" w:styleId="978" w:customStyle="1">
    <w:name w:val="cf11"/>
    <w:basedOn w:val="706"/>
    <w:uiPriority w:val="0"/>
    <w:qFormat/>
    <w:rPr>
      <w:rFonts w:hint="eastAsia" w:ascii="Microsoft YaHei UI" w:hAnsi="Microsoft YaHei UI" w:eastAsia="Microsoft YaHei UI"/>
      <w:sz w:val="18"/>
      <w:szCs w:val="18"/>
    </w:rPr>
  </w:style>
  <w:style w:type="paragraph" w:styleId="979">
    <w:name w:val="List Paragraph"/>
    <w:basedOn w:val="696"/>
    <w:uiPriority w:val="1"/>
    <w:qFormat/>
    <w:pPr>
      <w:ind w:firstLine="420"/>
    </w:pPr>
  </w:style>
  <w:style w:type="paragraph" w:styleId="980" w:customStyle="1">
    <w:name w:val="标题1，章节第一层"/>
    <w:basedOn w:val="696"/>
    <w:next w:val="69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81" w:customStyle="1">
    <w:name w:val="标准文本"/>
    <w:basedOn w:val="696"/>
    <w:uiPriority w:val="0"/>
    <w:qFormat/>
    <w:pPr>
      <w:ind w:firstLine="480"/>
      <w:spacing w:line="360" w:lineRule="auto"/>
    </w:pPr>
    <w:rPr>
      <w:rFonts w:ascii="Calibri" w:hAnsi="Calibri" w:eastAsia="Calibri" w:cs="宋体"/>
      <w:sz w:val="24"/>
      <w:lang w:val="zh-CN"/>
    </w:rPr>
  </w:style>
  <w:style w:type="character" w:styleId="982" w:customStyle="1">
    <w:name w:val="标准文本 Char Char"/>
    <w:uiPriority w:val="0"/>
    <w:qFormat/>
    <w:rPr>
      <w:rFonts w:eastAsia="宋体" w:cs="宋体"/>
      <w:sz w:val="24"/>
      <w:szCs w:val="24"/>
      <w:lang w:val="en-US" w:eastAsia="zh-CN" w:bidi="ar-SA"/>
    </w:rPr>
  </w:style>
  <w:style w:type="character" w:styleId="983" w:customStyle="1">
    <w:name w:val="标准小四 Char Char"/>
    <w:uiPriority w:val="0"/>
    <w:qFormat/>
    <w:rPr>
      <w:rFonts w:ascii="Arial" w:hAnsi="Arial" w:eastAsia="宋体"/>
      <w:sz w:val="24"/>
      <w:szCs w:val="21"/>
      <w:lang w:val="en-US" w:eastAsia="zh-CN" w:bidi="ar-SA"/>
    </w:rPr>
  </w:style>
  <w:style w:type="character" w:styleId="984" w:customStyle="1">
    <w:name w:val="标准文本 Char"/>
    <w:uiPriority w:val="0"/>
    <w:qFormat/>
    <w:rPr>
      <w:rFonts w:eastAsia="宋体" w:cs="宋体"/>
      <w:sz w:val="24"/>
      <w:szCs w:val="24"/>
      <w:lang w:val="en-US" w:eastAsia="zh-CN" w:bidi="ar-SA"/>
    </w:rPr>
  </w:style>
  <w:style w:type="character" w:styleId="985" w:customStyle="1">
    <w:name w:val="未处理的提及1"/>
    <w:basedOn w:val="706"/>
    <w:uiPriority w:val="99"/>
    <w:semiHidden/>
    <w:unhideWhenUsed/>
    <w:qFormat/>
    <w:rPr>
      <w:color w:val="605e5c"/>
      <w:shd w:val="clear" w:color="auto" w:fill="e1dfdd"/>
    </w:rPr>
  </w:style>
  <w:style w:type="paragraph" w:styleId="986" w:customStyle="1">
    <w:name w:val="列出段落3"/>
    <w:basedOn w:val="696"/>
    <w:uiPriority w:val="99"/>
    <w:qFormat/>
    <w:pPr>
      <w:ind w:firstLine="420"/>
    </w:pPr>
  </w:style>
  <w:style w:type="paragraph" w:styleId="987" w:customStyle="1">
    <w:name w:val="Normal_8_0"/>
    <w:uiPriority w:val="0"/>
    <w:qFormat/>
    <w:rPr>
      <w:rFonts w:hint="default" w:ascii="Times New Roman" w:hAnsi="Times New Roman" w:eastAsia="Times New Roman" w:cs="Times New Roman"/>
      <w:sz w:val="24"/>
      <w:szCs w:val="24"/>
    </w:rPr>
  </w:style>
  <w:style w:type="character" w:styleId="988"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89" w:customStyle="1">
    <w:name w:val="font41"/>
    <w:basedOn w:val="706"/>
    <w:uiPriority w:val="0"/>
    <w:qFormat/>
    <w:rPr>
      <w:rFonts w:hint="default" w:ascii="方正仿宋_GBK" w:hAnsi="方正仿宋_GBK" w:eastAsia="方正仿宋_GBK" w:cs="方正仿宋_GBK"/>
      <w:b/>
      <w:bCs/>
      <w:color w:val="000000"/>
      <w:sz w:val="22"/>
      <w:szCs w:val="22"/>
      <w:u w:val="none"/>
    </w:rPr>
  </w:style>
  <w:style w:type="character" w:styleId="990" w:customStyle="1">
    <w:name w:val="font31"/>
    <w:basedOn w:val="706"/>
    <w:uiPriority w:val="0"/>
    <w:qFormat/>
    <w:rPr>
      <w:rFonts w:hint="default" w:ascii="方正仿宋_GBK" w:hAnsi="方正仿宋_GBK" w:eastAsia="方正仿宋_GBK" w:cs="方正仿宋_GBK"/>
      <w:color w:val="000000"/>
      <w:sz w:val="22"/>
      <w:szCs w:val="22"/>
      <w:u w:val="none"/>
    </w:rPr>
  </w:style>
  <w:style w:type="character" w:styleId="991" w:customStyle="1">
    <w:name w:val="不明显参考1"/>
    <w:uiPriority w:val="31"/>
    <w:qFormat/>
    <w:rPr>
      <w:smallCaps/>
    </w:rPr>
  </w:style>
  <w:style w:type="paragraph" w:styleId="992" w:customStyle="1">
    <w:name w:val="Normal_5_0"/>
    <w:uiPriority w:val="0"/>
    <w:qFormat/>
    <w:rPr>
      <w:rFonts w:hint="default" w:ascii="Times New Roman" w:hAnsi="Times New Roman" w:eastAsia="Times New Roman" w:cs="Times New Roman"/>
      <w:sz w:val="24"/>
      <w:szCs w:val="24"/>
    </w:rPr>
  </w:style>
  <w:style w:type="character" w:styleId="993" w:customStyle="1">
    <w:name w:val="默认段落字体11"/>
    <w:uiPriority w:val="1"/>
    <w:unhideWhenUsed/>
    <w:qFormat/>
  </w:style>
  <w:style w:type="paragraph" w:styleId="994" w:customStyle="1">
    <w:name w:val="Normal_17"/>
    <w:uiPriority w:val="0"/>
    <w:qFormat/>
    <w:rPr>
      <w:rFonts w:hint="default" w:ascii="Times New Roman" w:hAnsi="Times New Roman" w:eastAsia="Times New Roman" w:cs="Times New Roman"/>
      <w:sz w:val="24"/>
      <w:szCs w:val="24"/>
    </w:rPr>
  </w:style>
  <w:style w:type="paragraph" w:styleId="995" w:customStyle="1">
    <w:name w:val="Normal_0_3"/>
    <w:uiPriority w:val="0"/>
    <w:qFormat/>
    <w:rPr>
      <w:rFonts w:hint="default" w:ascii="Times New Roman" w:hAnsi="Times New Roman" w:eastAsia="Times New Roman" w:cs="Times New Roman"/>
      <w:sz w:val="24"/>
      <w:szCs w:val="24"/>
    </w:rPr>
  </w:style>
  <w:style w:type="paragraph" w:styleId="996" w:customStyle="1">
    <w:name w:val="Normal_23"/>
    <w:uiPriority w:val="0"/>
    <w:qFormat/>
    <w:rPr>
      <w:rFonts w:hint="default" w:ascii="Times New Roman" w:hAnsi="Times New Roman" w:eastAsia="Times New Roman" w:cs="Times New Roman"/>
      <w:sz w:val="24"/>
      <w:szCs w:val="24"/>
    </w:rPr>
  </w:style>
  <w:style w:type="paragraph" w:styleId="997" w:customStyle="1">
    <w:name w:val="修订1"/>
    <w:hidden/>
    <w:uiPriority w:val="99"/>
    <w:unhideWhenUsed/>
    <w:qFormat/>
    <w:rPr>
      <w:rFonts w:hint="default" w:ascii="Times New Roman" w:hAnsi="Times New Roman" w:eastAsia="宋体" w:cs="Times New Roman"/>
      <w:sz w:val="21"/>
      <w:szCs w:val="24"/>
    </w:rPr>
  </w:style>
  <w:style w:type="paragraph" w:styleId="998" w:customStyle="1">
    <w:name w:val="列表段落1"/>
    <w:basedOn w:val="696"/>
    <w:uiPriority w:val="99"/>
    <w:qFormat/>
    <w:pPr>
      <w:ind w:firstLine="420"/>
    </w:pPr>
  </w:style>
  <w:style w:type="character" w:styleId="999" w:customStyle="1">
    <w:name w:val="font21"/>
    <w:basedOn w:val="706"/>
    <w:uiPriority w:val="0"/>
    <w:qFormat/>
    <w:rPr>
      <w:rFonts w:hint="eastAsia" w:ascii="等线" w:hAnsi="等线" w:eastAsia="等线" w:cs="等线"/>
      <w:color w:val="000000"/>
      <w:sz w:val="21"/>
      <w:szCs w:val="21"/>
      <w:u w:val="none"/>
    </w:rPr>
  </w:style>
  <w:style w:type="character" w:styleId="1000" w:customStyle="1">
    <w:name w:val="font11"/>
    <w:basedOn w:val="706"/>
    <w:uiPriority w:val="0"/>
    <w:qFormat/>
    <w:rPr>
      <w:rFonts w:hint="eastAsia" w:ascii="宋体" w:hAnsi="宋体" w:eastAsia="宋体" w:cs="宋体"/>
      <w:color w:val="000000"/>
      <w:sz w:val="21"/>
      <w:szCs w:val="21"/>
      <w:u w:val="none"/>
    </w:rPr>
  </w:style>
  <w:style w:type="paragraph" w:styleId="1001" w:customStyle="1">
    <w:name w:val="null3"/>
    <w:hidden/>
    <w:uiPriority w:val="0"/>
    <w:qFormat/>
    <w:rPr>
      <w:rFonts w:hint="eastAsia" w:asciiTheme="minorHAnsi" w:hAnsiTheme="minorHAnsi" w:eastAsiaTheme="minorEastAsia" w:cstheme="minorBidi"/>
      <w:lang w:eastAsia="zh-Hans"/>
    </w:rPr>
  </w:style>
  <w:style w:type="paragraph" w:styleId="1002" w:customStyle="1">
    <w:name w:val="Plain Text1"/>
    <w:basedOn w:val="696"/>
    <w:uiPriority w:val="0"/>
    <w:qFormat/>
    <w:pPr>
      <w:jc w:val="left"/>
      <w:widowControl/>
    </w:pPr>
    <w:rPr>
      <w:rFonts w:ascii="宋体" w:hAnsi="Courier New" w:eastAsia="楷体_GB2312"/>
      <w:sz w:val="26"/>
      <w:szCs w:val="20"/>
    </w:rPr>
  </w:style>
  <w:style w:type="character" w:styleId="1003" w:customStyle="1">
    <w:name w:val="ui-provider"/>
    <w:basedOn w:val="706"/>
    <w:uiPriority w:val="0"/>
    <w:qFormat/>
  </w:style>
  <w:style w:type="paragraph" w:styleId="1004" w:customStyle="1">
    <w:name w:val="索引 41"/>
    <w:basedOn w:val="696"/>
    <w:next w:val="696"/>
    <w:uiPriority w:val="0"/>
    <w:unhideWhenUsed/>
    <w:qFormat/>
    <w:pPr>
      <w:ind w:left="600"/>
    </w:pPr>
    <w:rPr>
      <w:szCs w:val="24"/>
    </w:rPr>
  </w:style>
  <w:style w:type="paragraph" w:styleId="1005" w:customStyle="1">
    <w:name w:val="正文首行缩进 21"/>
    <w:basedOn w:val="1006"/>
    <w:next w:val="696"/>
    <w:uiPriority w:val="99"/>
    <w:qFormat/>
    <w:pPr>
      <w:ind w:left="0" w:firstLine="420"/>
      <w:spacing w:after="0" w:line="360" w:lineRule="auto"/>
    </w:pPr>
    <w:rPr>
      <w:rFonts w:ascii="宋体" w:hAnsi="宋体"/>
      <w:sz w:val="20"/>
      <w:szCs w:val="20"/>
    </w:rPr>
  </w:style>
  <w:style w:type="paragraph" w:styleId="1006" w:customStyle="1">
    <w:name w:val="正文文本缩进11"/>
    <w:basedOn w:val="696"/>
    <w:next w:val="1007"/>
    <w:uiPriority w:val="0"/>
    <w:qFormat/>
    <w:pPr>
      <w:ind w:left="420"/>
      <w:spacing w:after="120"/>
    </w:pPr>
    <w:rPr>
      <w:sz w:val="24"/>
    </w:rPr>
  </w:style>
  <w:style w:type="paragraph" w:styleId="1007" w:customStyle="1">
    <w:name w:val="寄信人地址1"/>
    <w:basedOn w:val="696"/>
    <w:uiPriority w:val="0"/>
    <w:qFormat/>
    <w:rPr>
      <w:rFonts w:ascii="Arial" w:hAnsi="Arial"/>
    </w:rPr>
  </w:style>
  <w:style w:type="paragraph" w:styleId="1008" w:customStyle="1">
    <w:name w:val="纯文本11"/>
    <w:basedOn w:val="696"/>
    <w:uiPriority w:val="0"/>
    <w:qFormat/>
    <w:rPr>
      <w:rFonts w:ascii="宋体" w:hAnsi="Courier New"/>
      <w:szCs w:val="21"/>
    </w:rPr>
  </w:style>
  <w:style w:type="character" w:styleId="1009" w:customStyle="1">
    <w:name w:val="超链接1"/>
    <w:uiPriority w:val="99"/>
    <w:unhideWhenUsed/>
    <w:qFormat/>
    <w:rPr>
      <w:rFonts w:hint="default" w:ascii="Calibri" w:hAnsi="Calibri" w:eastAsia="宋体"/>
      <w:sz w:val="21"/>
      <w:szCs w:val="24"/>
      <w:lang w:val="en-US" w:eastAsia="zh-CN" w:bidi="ar-SA"/>
    </w:rPr>
  </w:style>
  <w:style w:type="paragraph" w:styleId="1010" w:customStyle="1">
    <w:name w:val="Table Text"/>
    <w:basedOn w:val="696"/>
    <w:uiPriority w:val="0"/>
    <w:unhideWhenUsed/>
    <w:qFormat/>
    <w:rPr>
      <w:rFonts w:hint="eastAsia" w:ascii="宋体" w:hAnsi="宋体" w:eastAsia="宋体" w:cs="宋体"/>
      <w:sz w:val="24"/>
      <w:szCs w:val="24"/>
    </w:rPr>
  </w:style>
  <w:style w:type="paragraph" w:styleId="1011" w:customStyle="1">
    <w:name w:val="普通正文"/>
    <w:uiPriority w:val="0"/>
    <w:qFormat/>
    <w:pPr>
      <w:ind w:firstLine="480"/>
      <w:jc w:val="left"/>
      <w:spacing w:before="120" w:after="120" w:line="360" w:lineRule="auto"/>
      <w:widowControl/>
    </w:pPr>
    <w:rPr>
      <w:rFonts w:hint="default" w:ascii="Arial" w:hAnsi="Arial" w:eastAsia="宋体" w:cs="宋体"/>
      <w:sz w:val="24"/>
      <w:szCs w:val="24"/>
      <w:lang w:eastAsia="zh-CN"/>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293bd950-0d36-4f31-8531-3a305d7a1ad8}"/>
        <w:description w:val=""/>
        <w:category>
          <w:name w:val="常规"/>
          <w:gallery w:val="placeholder"/>
        </w:category>
        <w:types>
          <w:type w:val="bbPlcHdr"/>
        </w:types>
        <w:behaviors>
          <w:behavior w:val="content"/>
        </w:behaviors>
        <w:guid w:val="{293BD950-0D36-4F31-8531-3A305D7A1AD8}"/>
      </w:docPartPr>
      <w:docPartBody>
        <w:p>
          <w:r>
            <w:rPr>
              <w:rStyle w:val="168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1" w:default="1">
    <w:name w:val="Normal"/>
    <w:uiPriority w:val="0"/>
    <w:qFormat/>
    <w:rPr>
      <w:rFonts w:hint="default" w:asciiTheme="minorHAnsi" w:hAnsiTheme="minorHAnsi" w:eastAsiaTheme="minorEastAsia" w:cstheme="minorBidi"/>
    </w:rPr>
  </w:style>
  <w:style w:type="paragraph" w:styleId="1462">
    <w:name w:val="Heading 1"/>
    <w:link w:val="1510"/>
    <w:uiPriority w:val="9"/>
    <w:qFormat/>
    <w:pPr>
      <w:keepLines/>
      <w:keepNext/>
      <w:spacing w:before="480" w:after="200"/>
      <w:outlineLvl w:val="0"/>
    </w:pPr>
    <w:rPr>
      <w:rFonts w:hint="default" w:ascii="Arial" w:hAnsi="Arial" w:eastAsia="Arial" w:cs="Arial"/>
      <w:sz w:val="40"/>
      <w:szCs w:val="40"/>
    </w:rPr>
  </w:style>
  <w:style w:type="paragraph" w:styleId="1463">
    <w:name w:val="Heading 2"/>
    <w:link w:val="1511"/>
    <w:uiPriority w:val="9"/>
    <w:unhideWhenUsed/>
    <w:qFormat/>
    <w:pPr>
      <w:keepLines/>
      <w:keepNext/>
      <w:spacing w:before="360" w:after="200"/>
      <w:outlineLvl w:val="1"/>
    </w:pPr>
    <w:rPr>
      <w:rFonts w:hint="default" w:ascii="Arial" w:hAnsi="Arial" w:eastAsia="Arial" w:cs="Arial"/>
      <w:sz w:val="34"/>
    </w:rPr>
  </w:style>
  <w:style w:type="paragraph" w:styleId="1464">
    <w:name w:val="Heading 3"/>
    <w:link w:val="1512"/>
    <w:uiPriority w:val="9"/>
    <w:unhideWhenUsed/>
    <w:qFormat/>
    <w:pPr>
      <w:keepLines/>
      <w:keepNext/>
      <w:spacing w:before="320" w:after="200"/>
      <w:outlineLvl w:val="2"/>
    </w:pPr>
    <w:rPr>
      <w:rFonts w:hint="default" w:ascii="Arial" w:hAnsi="Arial" w:eastAsia="Arial" w:cs="Arial"/>
      <w:sz w:val="30"/>
      <w:szCs w:val="30"/>
    </w:rPr>
  </w:style>
  <w:style w:type="paragraph" w:styleId="1465">
    <w:name w:val="Heading 4"/>
    <w:link w:val="1513"/>
    <w:uiPriority w:val="9"/>
    <w:unhideWhenUsed/>
    <w:qFormat/>
    <w:pPr>
      <w:keepLines/>
      <w:keepNext/>
      <w:spacing w:before="320" w:after="200"/>
      <w:outlineLvl w:val="3"/>
    </w:pPr>
    <w:rPr>
      <w:rFonts w:hint="default" w:ascii="Arial" w:hAnsi="Arial" w:eastAsia="Arial" w:cs="Arial"/>
      <w:b/>
      <w:bCs/>
      <w:sz w:val="26"/>
      <w:szCs w:val="26"/>
    </w:rPr>
  </w:style>
  <w:style w:type="paragraph" w:styleId="1466">
    <w:name w:val="Heading 5"/>
    <w:link w:val="1514"/>
    <w:uiPriority w:val="9"/>
    <w:unhideWhenUsed/>
    <w:qFormat/>
    <w:pPr>
      <w:keepLines/>
      <w:keepNext/>
      <w:spacing w:before="320" w:after="200"/>
      <w:outlineLvl w:val="4"/>
    </w:pPr>
    <w:rPr>
      <w:rFonts w:hint="default" w:ascii="Arial" w:hAnsi="Arial" w:eastAsia="Arial" w:cs="Arial"/>
      <w:b/>
      <w:bCs/>
      <w:sz w:val="24"/>
      <w:szCs w:val="24"/>
    </w:rPr>
  </w:style>
  <w:style w:type="paragraph" w:styleId="1467">
    <w:name w:val="Heading 6"/>
    <w:link w:val="1515"/>
    <w:uiPriority w:val="9"/>
    <w:unhideWhenUsed/>
    <w:qFormat/>
    <w:pPr>
      <w:keepLines/>
      <w:keepNext/>
      <w:spacing w:before="320" w:after="200"/>
      <w:outlineLvl w:val="5"/>
    </w:pPr>
    <w:rPr>
      <w:rFonts w:hint="default" w:ascii="Arial" w:hAnsi="Arial" w:eastAsia="Arial" w:cs="Arial"/>
      <w:b/>
      <w:bCs/>
      <w:sz w:val="22"/>
      <w:szCs w:val="22"/>
    </w:rPr>
  </w:style>
  <w:style w:type="paragraph" w:styleId="1468">
    <w:name w:val="Heading 7"/>
    <w:link w:val="151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469">
    <w:name w:val="Heading 8"/>
    <w:link w:val="1517"/>
    <w:uiPriority w:val="9"/>
    <w:unhideWhenUsed/>
    <w:qFormat/>
    <w:pPr>
      <w:keepLines/>
      <w:keepNext/>
      <w:spacing w:before="320" w:after="200"/>
      <w:outlineLvl w:val="7"/>
    </w:pPr>
    <w:rPr>
      <w:rFonts w:hint="default" w:ascii="Arial" w:hAnsi="Arial" w:eastAsia="Arial" w:cs="Arial"/>
      <w:i/>
      <w:iCs/>
      <w:sz w:val="22"/>
      <w:szCs w:val="22"/>
    </w:rPr>
  </w:style>
  <w:style w:type="paragraph" w:styleId="1470">
    <w:name w:val="Heading 9"/>
    <w:link w:val="1518"/>
    <w:uiPriority w:val="9"/>
    <w:unhideWhenUsed/>
    <w:qFormat/>
    <w:pPr>
      <w:keepLines/>
      <w:keepNext/>
      <w:spacing w:before="320" w:after="200"/>
      <w:outlineLvl w:val="8"/>
    </w:pPr>
    <w:rPr>
      <w:rFonts w:hint="default" w:ascii="Arial" w:hAnsi="Arial" w:eastAsia="Arial" w:cs="Arial"/>
      <w:i/>
      <w:iCs/>
      <w:sz w:val="21"/>
      <w:szCs w:val="21"/>
    </w:rPr>
  </w:style>
  <w:style w:type="character" w:styleId="1471" w:default="1">
    <w:name w:val="Default Paragraph Font"/>
    <w:uiPriority w:val="1"/>
    <w:semiHidden/>
    <w:unhideWhenUsed/>
    <w:qFormat/>
  </w:style>
  <w:style w:type="table" w:styleId="1472" w:default="1">
    <w:name w:val="Normal Table"/>
    <w:uiPriority w:val="99"/>
    <w:semiHidden/>
    <w:unhideWhenUsed/>
    <w:qFormat/>
    <w:tblPr>
      <w:tblCellMar>
        <w:left w:w="108" w:type="dxa"/>
        <w:top w:w="0" w:type="dxa"/>
        <w:right w:w="108" w:type="dxa"/>
        <w:bottom w:w="0" w:type="dxa"/>
      </w:tblCellMar>
    </w:tblPr>
  </w:style>
  <w:style w:type="character" w:styleId="1473" w:customStyle="1">
    <w:name w:val="Heading 1 Char"/>
    <w:basedOn w:val="1471"/>
    <w:uiPriority w:val="9"/>
    <w:qFormat/>
    <w:rPr>
      <w:rFonts w:ascii="Arial" w:hAnsi="Arial" w:eastAsia="Arial" w:cs="Arial"/>
      <w:sz w:val="40"/>
      <w:szCs w:val="40"/>
    </w:rPr>
  </w:style>
  <w:style w:type="character" w:styleId="1474" w:customStyle="1">
    <w:name w:val="Heading 2 Char"/>
    <w:basedOn w:val="1471"/>
    <w:uiPriority w:val="9"/>
    <w:qFormat/>
    <w:rPr>
      <w:rFonts w:ascii="Arial" w:hAnsi="Arial" w:eastAsia="Arial" w:cs="Arial"/>
      <w:sz w:val="34"/>
    </w:rPr>
  </w:style>
  <w:style w:type="character" w:styleId="1475" w:customStyle="1">
    <w:name w:val="Heading 3 Char"/>
    <w:basedOn w:val="1471"/>
    <w:uiPriority w:val="9"/>
    <w:qFormat/>
    <w:rPr>
      <w:rFonts w:ascii="Arial" w:hAnsi="Arial" w:eastAsia="Arial" w:cs="Arial"/>
      <w:sz w:val="30"/>
      <w:szCs w:val="30"/>
    </w:rPr>
  </w:style>
  <w:style w:type="character" w:styleId="1476" w:customStyle="1">
    <w:name w:val="Heading 4 Char"/>
    <w:basedOn w:val="1471"/>
    <w:uiPriority w:val="9"/>
    <w:qFormat/>
    <w:rPr>
      <w:rFonts w:ascii="Arial" w:hAnsi="Arial" w:eastAsia="Arial" w:cs="Arial"/>
      <w:b/>
      <w:bCs/>
      <w:sz w:val="26"/>
      <w:szCs w:val="26"/>
    </w:rPr>
  </w:style>
  <w:style w:type="character" w:styleId="1477" w:customStyle="1">
    <w:name w:val="Heading 5 Char"/>
    <w:basedOn w:val="1471"/>
    <w:uiPriority w:val="9"/>
    <w:qFormat/>
    <w:rPr>
      <w:rFonts w:ascii="Arial" w:hAnsi="Arial" w:eastAsia="Arial" w:cs="Arial"/>
      <w:b/>
      <w:bCs/>
      <w:sz w:val="24"/>
      <w:szCs w:val="24"/>
    </w:rPr>
  </w:style>
  <w:style w:type="character" w:styleId="1478" w:customStyle="1">
    <w:name w:val="Heading 6 Char"/>
    <w:basedOn w:val="1471"/>
    <w:uiPriority w:val="9"/>
    <w:qFormat/>
    <w:rPr>
      <w:rFonts w:ascii="Arial" w:hAnsi="Arial" w:eastAsia="Arial" w:cs="Arial"/>
      <w:b/>
      <w:bCs/>
      <w:sz w:val="22"/>
      <w:szCs w:val="22"/>
    </w:rPr>
  </w:style>
  <w:style w:type="character" w:styleId="1479" w:customStyle="1">
    <w:name w:val="Heading 7 Char"/>
    <w:basedOn w:val="1471"/>
    <w:uiPriority w:val="9"/>
    <w:qFormat/>
    <w:rPr>
      <w:rFonts w:ascii="Arial" w:hAnsi="Arial" w:eastAsia="Arial" w:cs="Arial"/>
      <w:b/>
      <w:bCs/>
      <w:i/>
      <w:iCs/>
      <w:sz w:val="22"/>
      <w:szCs w:val="22"/>
    </w:rPr>
  </w:style>
  <w:style w:type="character" w:styleId="1480" w:customStyle="1">
    <w:name w:val="Heading 8 Char"/>
    <w:basedOn w:val="1471"/>
    <w:uiPriority w:val="9"/>
    <w:qFormat/>
    <w:rPr>
      <w:rFonts w:ascii="Arial" w:hAnsi="Arial" w:eastAsia="Arial" w:cs="Arial"/>
      <w:i/>
      <w:iCs/>
      <w:sz w:val="22"/>
      <w:szCs w:val="22"/>
    </w:rPr>
  </w:style>
  <w:style w:type="character" w:styleId="1481" w:customStyle="1">
    <w:name w:val="Heading 9 Char"/>
    <w:basedOn w:val="1471"/>
    <w:uiPriority w:val="9"/>
    <w:qFormat/>
    <w:rPr>
      <w:rFonts w:ascii="Arial" w:hAnsi="Arial" w:eastAsia="Arial" w:cs="Arial"/>
      <w:i/>
      <w:iCs/>
      <w:sz w:val="21"/>
      <w:szCs w:val="21"/>
    </w:rPr>
  </w:style>
  <w:style w:type="character" w:styleId="1482" w:customStyle="1">
    <w:name w:val="Title Char"/>
    <w:basedOn w:val="1471"/>
    <w:uiPriority w:val="10"/>
    <w:qFormat/>
    <w:rPr>
      <w:sz w:val="48"/>
      <w:szCs w:val="48"/>
    </w:rPr>
  </w:style>
  <w:style w:type="character" w:styleId="1483" w:customStyle="1">
    <w:name w:val="Subtitle Char"/>
    <w:basedOn w:val="1471"/>
    <w:uiPriority w:val="11"/>
    <w:qFormat/>
    <w:rPr>
      <w:sz w:val="24"/>
      <w:szCs w:val="24"/>
    </w:rPr>
  </w:style>
  <w:style w:type="character" w:styleId="1484" w:customStyle="1">
    <w:name w:val="Quote Char"/>
    <w:uiPriority w:val="29"/>
    <w:qFormat/>
    <w:rPr>
      <w:i/>
    </w:rPr>
  </w:style>
  <w:style w:type="character" w:styleId="1485" w:customStyle="1">
    <w:name w:val="Intense Quote Char"/>
    <w:uiPriority w:val="30"/>
    <w:qFormat/>
    <w:rPr>
      <w:i/>
    </w:rPr>
  </w:style>
  <w:style w:type="character" w:styleId="1486" w:customStyle="1">
    <w:name w:val="Header Char"/>
    <w:basedOn w:val="1471"/>
    <w:uiPriority w:val="99"/>
    <w:qFormat/>
  </w:style>
  <w:style w:type="character" w:styleId="1487" w:customStyle="1">
    <w:name w:val="Caption Char"/>
    <w:uiPriority w:val="99"/>
    <w:qFormat/>
  </w:style>
  <w:style w:type="table" w:styleId="1488" w:customStyle="1">
    <w:name w:val="Plain Table 1"/>
    <w:basedOn w:val="14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89" w:customStyle="1">
    <w:name w:val="Plain Table 2"/>
    <w:basedOn w:val="14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90" w:customStyle="1">
    <w:name w:val="Plain Table 3"/>
    <w:basedOn w:val="14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91" w:customStyle="1">
    <w:name w:val="Plain Table 4"/>
    <w:basedOn w:val="14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2" w:customStyle="1">
    <w:name w:val="Plain Table 5"/>
    <w:basedOn w:val="14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93" w:customStyle="1">
    <w:name w:val="Grid Table 1 Light"/>
    <w:basedOn w:val="14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94" w:customStyle="1">
    <w:name w:val="Grid Table 2"/>
    <w:basedOn w:val="14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95" w:customStyle="1">
    <w:name w:val="Grid Table 3"/>
    <w:basedOn w:val="14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6" w:customStyle="1">
    <w:name w:val="Grid Table 4"/>
    <w:basedOn w:val="14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7" w:customStyle="1">
    <w:name w:val="Grid Table 5 Dark"/>
    <w:basedOn w:val="14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98" w:customStyle="1">
    <w:name w:val="Grid Table 6 Colorful"/>
    <w:basedOn w:val="14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9" w:customStyle="1">
    <w:name w:val="Grid Table 7 Colorful"/>
    <w:basedOn w:val="14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0" w:customStyle="1">
    <w:name w:val="List Table 1 Light"/>
    <w:basedOn w:val="14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1" w:customStyle="1">
    <w:name w:val="List Table 2"/>
    <w:basedOn w:val="14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2" w:customStyle="1">
    <w:name w:val="List Table 3"/>
    <w:basedOn w:val="14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3" w:customStyle="1">
    <w:name w:val="List Table 4"/>
    <w:basedOn w:val="14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4" w:customStyle="1">
    <w:name w:val="List Table 5 Dark"/>
    <w:basedOn w:val="14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05" w:customStyle="1">
    <w:name w:val="List Table 6 Colorful"/>
    <w:basedOn w:val="14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06" w:customStyle="1">
    <w:name w:val="List Table 7 Colorful"/>
    <w:basedOn w:val="14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07" w:customStyle="1">
    <w:name w:val="Footnote Text Char"/>
    <w:uiPriority w:val="99"/>
    <w:qFormat/>
    <w:rPr>
      <w:sz w:val="18"/>
    </w:rPr>
  </w:style>
  <w:style w:type="character" w:styleId="1508" w:customStyle="1">
    <w:name w:val="Endnote Text Char"/>
    <w:uiPriority w:val="99"/>
    <w:qFormat/>
    <w:rPr>
      <w:sz w:val="20"/>
    </w:rPr>
  </w:style>
  <w:style w:type="paragraph" w:styleId="1509" w:customStyle="1">
    <w:name w:val="TOC Heading"/>
    <w:uiPriority w:val="39"/>
    <w:unhideWhenUsed/>
    <w:qFormat/>
    <w:rPr>
      <w:rFonts w:hint="default" w:asciiTheme="minorHAnsi" w:hAnsiTheme="minorHAnsi" w:eastAsiaTheme="minorEastAsia" w:cstheme="minorBidi"/>
    </w:rPr>
  </w:style>
  <w:style w:type="character" w:styleId="1510" w:customStyle="1">
    <w:name w:val="标题 1 字符"/>
    <w:basedOn w:val="1471"/>
    <w:link w:val="1462"/>
    <w:uiPriority w:val="9"/>
    <w:qFormat/>
    <w:rPr>
      <w:rFonts w:ascii="Arial" w:hAnsi="Arial" w:eastAsia="Arial" w:cs="Arial"/>
      <w:sz w:val="40"/>
      <w:szCs w:val="40"/>
    </w:rPr>
  </w:style>
  <w:style w:type="character" w:styleId="1511" w:customStyle="1">
    <w:name w:val="标题 2 字符"/>
    <w:basedOn w:val="1471"/>
    <w:link w:val="1463"/>
    <w:uiPriority w:val="9"/>
    <w:qFormat/>
    <w:rPr>
      <w:rFonts w:ascii="Arial" w:hAnsi="Arial" w:eastAsia="Arial" w:cs="Arial"/>
      <w:sz w:val="34"/>
    </w:rPr>
  </w:style>
  <w:style w:type="character" w:styleId="1512" w:customStyle="1">
    <w:name w:val="标题 3 字符"/>
    <w:basedOn w:val="1471"/>
    <w:link w:val="1464"/>
    <w:uiPriority w:val="9"/>
    <w:qFormat/>
    <w:rPr>
      <w:rFonts w:ascii="Arial" w:hAnsi="Arial" w:eastAsia="Arial" w:cs="Arial"/>
      <w:sz w:val="30"/>
      <w:szCs w:val="30"/>
    </w:rPr>
  </w:style>
  <w:style w:type="character" w:styleId="1513" w:customStyle="1">
    <w:name w:val="标题 4 字符"/>
    <w:basedOn w:val="1471"/>
    <w:link w:val="1465"/>
    <w:uiPriority w:val="9"/>
    <w:qFormat/>
    <w:rPr>
      <w:rFonts w:ascii="Arial" w:hAnsi="Arial" w:eastAsia="Arial" w:cs="Arial"/>
      <w:b/>
      <w:bCs/>
      <w:sz w:val="26"/>
      <w:szCs w:val="26"/>
    </w:rPr>
  </w:style>
  <w:style w:type="character" w:styleId="1514" w:customStyle="1">
    <w:name w:val="标题 5 字符"/>
    <w:basedOn w:val="1471"/>
    <w:link w:val="1466"/>
    <w:uiPriority w:val="9"/>
    <w:qFormat/>
    <w:rPr>
      <w:rFonts w:ascii="Arial" w:hAnsi="Arial" w:eastAsia="Arial" w:cs="Arial"/>
      <w:b/>
      <w:bCs/>
      <w:sz w:val="24"/>
      <w:szCs w:val="24"/>
    </w:rPr>
  </w:style>
  <w:style w:type="character" w:styleId="1515" w:customStyle="1">
    <w:name w:val="标题 6 字符"/>
    <w:basedOn w:val="1471"/>
    <w:link w:val="1467"/>
    <w:uiPriority w:val="9"/>
    <w:qFormat/>
    <w:rPr>
      <w:rFonts w:ascii="Arial" w:hAnsi="Arial" w:eastAsia="Arial" w:cs="Arial"/>
      <w:b/>
      <w:bCs/>
      <w:sz w:val="22"/>
      <w:szCs w:val="22"/>
    </w:rPr>
  </w:style>
  <w:style w:type="character" w:styleId="1516" w:customStyle="1">
    <w:name w:val="标题 7 字符"/>
    <w:basedOn w:val="1471"/>
    <w:link w:val="1468"/>
    <w:uiPriority w:val="9"/>
    <w:qFormat/>
    <w:rPr>
      <w:rFonts w:ascii="Arial" w:hAnsi="Arial" w:eastAsia="Arial" w:cs="Arial"/>
      <w:b/>
      <w:bCs/>
      <w:i/>
      <w:iCs/>
      <w:sz w:val="22"/>
      <w:szCs w:val="22"/>
    </w:rPr>
  </w:style>
  <w:style w:type="character" w:styleId="1517" w:customStyle="1">
    <w:name w:val="标题 8 字符"/>
    <w:basedOn w:val="1471"/>
    <w:link w:val="1469"/>
    <w:uiPriority w:val="9"/>
    <w:qFormat/>
    <w:rPr>
      <w:rFonts w:ascii="Arial" w:hAnsi="Arial" w:eastAsia="Arial" w:cs="Arial"/>
      <w:i/>
      <w:iCs/>
      <w:sz w:val="22"/>
      <w:szCs w:val="22"/>
    </w:rPr>
  </w:style>
  <w:style w:type="character" w:styleId="1518" w:customStyle="1">
    <w:name w:val="标题 9 字符"/>
    <w:basedOn w:val="1471"/>
    <w:link w:val="1470"/>
    <w:uiPriority w:val="9"/>
    <w:qFormat/>
    <w:rPr>
      <w:rFonts w:ascii="Arial" w:hAnsi="Arial" w:eastAsia="Arial" w:cs="Arial"/>
      <w:i/>
      <w:iCs/>
      <w:sz w:val="21"/>
      <w:szCs w:val="21"/>
    </w:rPr>
  </w:style>
  <w:style w:type="paragraph" w:styleId="1519">
    <w:name w:val="List Paragraph"/>
    <w:uiPriority w:val="34"/>
    <w:qFormat/>
    <w:pPr>
      <w:contextualSpacing/>
      <w:ind w:left="720"/>
    </w:pPr>
    <w:rPr>
      <w:rFonts w:hint="default" w:asciiTheme="minorHAnsi" w:hAnsiTheme="minorHAnsi" w:eastAsiaTheme="minorEastAsia" w:cstheme="minorBidi"/>
    </w:rPr>
  </w:style>
  <w:style w:type="paragraph" w:styleId="1520">
    <w:name w:val="No Spacing"/>
    <w:uiPriority w:val="1"/>
    <w:qFormat/>
    <w:rPr>
      <w:rFonts w:hint="default" w:asciiTheme="minorHAnsi" w:hAnsiTheme="minorHAnsi" w:eastAsiaTheme="minorEastAsia" w:cstheme="minorBidi"/>
    </w:rPr>
  </w:style>
  <w:style w:type="paragraph" w:styleId="1521">
    <w:name w:val="Title"/>
    <w:link w:val="1522"/>
    <w:uiPriority w:val="10"/>
    <w:qFormat/>
    <w:pPr>
      <w:contextualSpacing/>
      <w:spacing w:before="300" w:after="200"/>
    </w:pPr>
    <w:rPr>
      <w:rFonts w:hint="default" w:asciiTheme="minorHAnsi" w:hAnsiTheme="minorHAnsi" w:eastAsiaTheme="minorEastAsia" w:cstheme="minorBidi"/>
      <w:sz w:val="48"/>
      <w:szCs w:val="48"/>
    </w:rPr>
  </w:style>
  <w:style w:type="character" w:styleId="1522" w:customStyle="1">
    <w:name w:val="标题 字符"/>
    <w:basedOn w:val="1471"/>
    <w:link w:val="1521"/>
    <w:uiPriority w:val="10"/>
    <w:qFormat/>
    <w:rPr>
      <w:sz w:val="48"/>
      <w:szCs w:val="48"/>
    </w:rPr>
  </w:style>
  <w:style w:type="paragraph" w:styleId="1523">
    <w:name w:val="Subtitle"/>
    <w:link w:val="1524"/>
    <w:uiPriority w:val="11"/>
    <w:qFormat/>
    <w:pPr>
      <w:spacing w:before="200" w:after="200"/>
    </w:pPr>
    <w:rPr>
      <w:rFonts w:hint="default" w:asciiTheme="minorHAnsi" w:hAnsiTheme="minorHAnsi" w:eastAsiaTheme="minorEastAsia" w:cstheme="minorBidi"/>
      <w:sz w:val="24"/>
      <w:szCs w:val="24"/>
    </w:rPr>
  </w:style>
  <w:style w:type="character" w:styleId="1524" w:customStyle="1">
    <w:name w:val="副标题 字符"/>
    <w:basedOn w:val="1471"/>
    <w:link w:val="1523"/>
    <w:uiPriority w:val="11"/>
    <w:qFormat/>
    <w:rPr>
      <w:sz w:val="24"/>
      <w:szCs w:val="24"/>
    </w:rPr>
  </w:style>
  <w:style w:type="paragraph" w:styleId="1525">
    <w:name w:val="Quote"/>
    <w:link w:val="1526"/>
    <w:uiPriority w:val="29"/>
    <w:qFormat/>
    <w:pPr>
      <w:ind w:left="720" w:right="720"/>
    </w:pPr>
    <w:rPr>
      <w:rFonts w:hint="default" w:asciiTheme="minorHAnsi" w:hAnsiTheme="minorHAnsi" w:eastAsiaTheme="minorEastAsia" w:cstheme="minorBidi"/>
      <w:i/>
    </w:rPr>
  </w:style>
  <w:style w:type="character" w:styleId="1526" w:customStyle="1">
    <w:name w:val="引用 字符"/>
    <w:link w:val="1525"/>
    <w:uiPriority w:val="29"/>
    <w:qFormat/>
    <w:rPr>
      <w:i/>
    </w:rPr>
  </w:style>
  <w:style w:type="paragraph" w:styleId="1527">
    <w:name w:val="Intense Quote"/>
    <w:link w:val="15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rPr>
  </w:style>
  <w:style w:type="character" w:styleId="1528" w:customStyle="1">
    <w:name w:val="明显引用 字符"/>
    <w:link w:val="1527"/>
    <w:uiPriority w:val="30"/>
    <w:qFormat/>
    <w:rPr>
      <w:i/>
    </w:rPr>
  </w:style>
  <w:style w:type="paragraph" w:styleId="1529">
    <w:name w:val="Header"/>
    <w:link w:val="1530"/>
    <w:uiPriority w:val="99"/>
    <w:unhideWhenUsed/>
    <w:qFormat/>
    <w:pPr>
      <w:tabs>
        <w:tab w:val="center" w:pos="7143" w:leader="none"/>
        <w:tab w:val="right" w:pos="14287" w:leader="none"/>
      </w:tabs>
    </w:pPr>
    <w:rPr>
      <w:rFonts w:hint="default" w:asciiTheme="minorHAnsi" w:hAnsiTheme="minorHAnsi" w:eastAsiaTheme="minorEastAsia" w:cstheme="minorBidi"/>
    </w:rPr>
  </w:style>
  <w:style w:type="character" w:styleId="1530" w:customStyle="1">
    <w:name w:val="页眉 字符"/>
    <w:basedOn w:val="1471"/>
    <w:link w:val="1529"/>
    <w:uiPriority w:val="99"/>
    <w:qFormat/>
  </w:style>
  <w:style w:type="paragraph" w:styleId="1531">
    <w:name w:val="Footer"/>
    <w:link w:val="1534"/>
    <w:uiPriority w:val="99"/>
    <w:unhideWhenUsed/>
    <w:qFormat/>
    <w:pPr>
      <w:tabs>
        <w:tab w:val="center" w:pos="7143" w:leader="none"/>
        <w:tab w:val="right" w:pos="14287" w:leader="none"/>
      </w:tabs>
    </w:pPr>
    <w:rPr>
      <w:rFonts w:hint="default" w:asciiTheme="minorHAnsi" w:hAnsiTheme="minorHAnsi" w:eastAsiaTheme="minorEastAsia" w:cstheme="minorBidi"/>
    </w:rPr>
  </w:style>
  <w:style w:type="character" w:styleId="1532" w:customStyle="1">
    <w:name w:val="Footer Char"/>
    <w:basedOn w:val="1471"/>
    <w:uiPriority w:val="99"/>
    <w:qFormat/>
  </w:style>
  <w:style w:type="paragraph" w:styleId="1533">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14:textFill>
        <w14:solidFill>
          <w14:schemeClr w14:val="accent1"/>
        </w14:solidFill>
      </w14:textFill>
    </w:rPr>
  </w:style>
  <w:style w:type="character" w:styleId="1534" w:customStyle="1">
    <w:name w:val="页脚 字符"/>
    <w:link w:val="1531"/>
    <w:uiPriority w:val="99"/>
    <w:qFormat/>
  </w:style>
  <w:style w:type="table" w:styleId="15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0"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51"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52"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53"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54"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55"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6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6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67"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68"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6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12"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blStylePr>
  </w:style>
  <w:style w:type="table" w:styleId="1578"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4472c4" w:themeColor="accent1"/>
        <w:sz w:val="22"/>
        <w14:textFill>
          <w14:solidFill>
            <w14:schemeClr w14:val="accent1"/>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4472c4" w:themeColor="accent1"/>
        <w:sz w:val="22"/>
        <w14:textFill>
          <w14:solidFill>
            <w14:schemeClr w14:val="accent1"/>
          </w14:solidFill>
        </w14:textFill>
      </w:rPr>
    </w:tblStylePr>
    <w:tblStylePr w:type="firstCol">
      <w:rPr>
        <w:b/>
        <w:color w:val="4472c4" w:themeColor="accent1"/>
        <w14:textFill>
          <w14:solidFill>
            <w14:schemeClr w14:val="accent1"/>
          </w14:solidFill>
        </w14:textFill>
      </w:rPr>
    </w:tblStylePr>
    <w:tblStylePr w:type="firstRow">
      <w:rPr>
        <w:b/>
        <w:color w:val="4472c4" w:themeColor="accent1"/>
        <w14:textFill>
          <w14:solidFill>
            <w14:schemeClr w14:val="accent1"/>
          </w14:solidFill>
        </w14:textFill>
      </w:rPr>
      <w:tcPr>
        <w:tcBorders>
          <w:bottom w:val="single" w:color="A1B8E1" w:themeColor="accent1" w:themeTint="80" w:sz="12" w:space="0"/>
        </w:tcBorders>
      </w:tcPr>
    </w:tblStylePr>
    <w:tblStylePr w:type="lastCol">
      <w:rPr>
        <w:b/>
        <w:color w:val="4472c4" w:themeColor="accent1"/>
        <w14:textFill>
          <w14:solidFill>
            <w14:schemeClr w14:val="accent1"/>
          </w14:solidFill>
        </w14:textFill>
      </w:rPr>
    </w:tblStylePr>
    <w:tblStylePr w:type="lastRow">
      <w:rPr>
        <w:b/>
        <w:color w:val="4472c4" w:themeColor="accent1"/>
        <w14:textFill>
          <w14:solidFill>
            <w14:schemeClr w14:val="accent1"/>
          </w14:solidFill>
        </w14:textFill>
      </w:rPr>
    </w:tblStylePr>
  </w:style>
  <w:style w:type="table" w:styleId="1579"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ed7d31" w:themeColor="accent2"/>
        <w:sz w:val="22"/>
        <w14:textFill>
          <w14:solidFill>
            <w14:schemeClr w14:val="accent2"/>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ed7d31" w:themeColor="accent2"/>
        <w:sz w:val="22"/>
        <w14:textFill>
          <w14:solidFill>
            <w14:schemeClr w14:val="accent2"/>
          </w14:solidFill>
        </w14:textFill>
      </w:rPr>
    </w:tblStylePr>
    <w:tblStylePr w:type="firstCol">
      <w:rPr>
        <w:b/>
        <w:color w:val="ed7d31" w:themeColor="accent2"/>
        <w14:textFill>
          <w14:solidFill>
            <w14:schemeClr w14:val="accent2"/>
          </w14:solidFill>
        </w14:textFill>
      </w:rPr>
    </w:tblStylePr>
    <w:tblStylePr w:type="firstRow">
      <w:rPr>
        <w:b/>
        <w:color w:val="ed7d31" w:themeColor="accent2"/>
        <w14:textFill>
          <w14:solidFill>
            <w14:schemeClr w14:val="accent2"/>
          </w14:solidFill>
        </w14:textFill>
      </w:rPr>
      <w:tcPr>
        <w:tcBorders>
          <w:bottom w:val="single" w:color="F4B285" w:themeColor="accent2" w:themeTint="97" w:sz="12" w:space="0"/>
        </w:tcBorders>
      </w:tcPr>
    </w:tblStylePr>
    <w:tblStylePr w:type="lastCol">
      <w:rPr>
        <w:b/>
        <w:color w:val="ed7d31" w:themeColor="accent2"/>
        <w14:textFill>
          <w14:solidFill>
            <w14:schemeClr w14:val="accent2"/>
          </w14:solidFill>
        </w14:textFill>
      </w:rPr>
    </w:tblStylePr>
    <w:tblStylePr w:type="lastRow">
      <w:rPr>
        <w:b/>
        <w:color w:val="ed7d31" w:themeColor="accent2"/>
        <w14:textFill>
          <w14:solidFill>
            <w14:schemeClr w14:val="accent2"/>
          </w14:solidFill>
        </w14:textFill>
      </w:rPr>
    </w:tblStylePr>
  </w:style>
  <w:style w:type="table" w:styleId="1580"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581"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c000" w:themeColor="accent4"/>
        <w:sz w:val="22"/>
        <w14:textFill>
          <w14:solidFill>
            <w14:schemeClr w14:val="accent4"/>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c000" w:themeColor="accent4"/>
        <w:sz w:val="22"/>
        <w14:textFill>
          <w14:solidFill>
            <w14:schemeClr w14:val="accent4"/>
          </w14:solidFill>
        </w14:textFill>
      </w:rPr>
    </w:tblStylePr>
    <w:tblStylePr w:type="firstCol">
      <w:rPr>
        <w:b/>
        <w:color w:val="ffc000" w:themeColor="accent4"/>
        <w14:textFill>
          <w14:solidFill>
            <w14:schemeClr w14:val="accent4"/>
          </w14:solidFill>
        </w14:textFill>
      </w:rPr>
    </w:tblStylePr>
    <w:tblStylePr w:type="firstRow">
      <w:rPr>
        <w:b/>
        <w:color w:val="ffc000" w:themeColor="accent4"/>
        <w14:textFill>
          <w14:solidFill>
            <w14:schemeClr w14:val="accent4"/>
          </w14:solidFill>
        </w14:textFill>
      </w:rPr>
      <w:tcPr>
        <w:tcBorders>
          <w:bottom w:val="single" w:color="FFD864" w:themeColor="accent4" w:themeTint="9A" w:sz="12" w:space="0"/>
        </w:tcBorders>
      </w:tcPr>
    </w:tblStylePr>
    <w:tblStylePr w:type="lastCol">
      <w:rPr>
        <w:b/>
        <w:color w:val="ffc000" w:themeColor="accent4"/>
        <w14:textFill>
          <w14:solidFill>
            <w14:schemeClr w14:val="accent4"/>
          </w14:solidFill>
        </w14:textFill>
      </w:rPr>
    </w:tblStylePr>
    <w:tblStylePr w:type="lastRow">
      <w:rPr>
        <w:b/>
        <w:color w:val="ffc000" w:themeColor="accent4"/>
        <w14:textFill>
          <w14:solidFill>
            <w14:schemeClr w14:val="accent4"/>
          </w14:solidFill>
        </w14:textFill>
      </w:rPr>
    </w:tblStylePr>
  </w:style>
  <w:style w:type="table" w:styleId="1582"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3"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5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000000" w:themeColor="text1"/>
        <w:sz w:val="22"/>
        <w14:textFill>
          <w14:solidFill>
            <w14:schemeClr w14:val="tx1"/>
          </w14:solidFill>
        </w14:textFill>
      </w:rPr>
    </w:tblStylePr>
    <w:tblStylePr w:type="firstCol">
      <w:rPr>
        <w:rFonts w:ascii="Arial" w:hAnsi="Arial"/>
        <w:i/>
        <w:color w:val="000000" w:themeColor="text1"/>
        <w:sz w:val="22"/>
        <w14:textFill>
          <w14:solidFill>
            <w14:schemeClr w14:val="tx1"/>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000000" w:themeColor="text1"/>
        <w:sz w:val="22"/>
        <w14:textFill>
          <w14:solidFill>
            <w14:schemeClr w14:val="tx1"/>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000000" w:themeColor="text1"/>
        <w:sz w:val="22"/>
        <w14:textFill>
          <w14:solidFill>
            <w14:schemeClr w14:val="tx1"/>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000000" w:themeColor="text1"/>
        <w:sz w:val="22"/>
        <w14:textFill>
          <w14:solidFill>
            <w14:schemeClr w14:val="tx1"/>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4472c4" w:themeColor="accent1"/>
        <w:sz w:val="22"/>
        <w14:textFill>
          <w14:solidFill>
            <w14:schemeClr w14:val="accent1"/>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4472c4" w:themeColor="accent1"/>
        <w:sz w:val="22"/>
        <w14:textFill>
          <w14:solidFill>
            <w14:schemeClr w14:val="accent1"/>
          </w14:solidFill>
        </w14:textFill>
      </w:rPr>
    </w:tblStylePr>
    <w:tblStylePr w:type="firstCol">
      <w:rPr>
        <w:rFonts w:ascii="Arial" w:hAnsi="Arial"/>
        <w:i/>
        <w:color w:val="4472c4" w:themeColor="accent1"/>
        <w:sz w:val="22"/>
        <w14:textFill>
          <w14:solidFill>
            <w14:schemeClr w14:val="accent1"/>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4472c4" w:themeColor="accent1"/>
        <w:sz w:val="22"/>
        <w14:textFill>
          <w14:solidFill>
            <w14:schemeClr w14:val="accent1"/>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4472c4" w:themeColor="accent1"/>
        <w:sz w:val="22"/>
        <w14:textFill>
          <w14:solidFill>
            <w14:schemeClr w14:val="accent1"/>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4472c4" w:themeColor="accent1"/>
        <w:sz w:val="22"/>
        <w14:textFill>
          <w14:solidFill>
            <w14:schemeClr w14:val="accent1"/>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58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ed7d31" w:themeColor="accent2"/>
        <w:sz w:val="22"/>
        <w14:textFill>
          <w14:solidFill>
            <w14:schemeClr w14:val="accent2"/>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ed7d31" w:themeColor="accent2"/>
        <w:sz w:val="22"/>
        <w14:textFill>
          <w14:solidFill>
            <w14:schemeClr w14:val="accent2"/>
          </w14:solidFill>
        </w14:textFill>
      </w:rPr>
    </w:tblStylePr>
    <w:tblStylePr w:type="firstCol">
      <w:rPr>
        <w:rFonts w:ascii="Arial" w:hAnsi="Arial"/>
        <w:i/>
        <w:color w:val="ed7d31" w:themeColor="accent2"/>
        <w:sz w:val="22"/>
        <w14:textFill>
          <w14:solidFill>
            <w14:schemeClr w14:val="accent2"/>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ed7d31" w:themeColor="accent2"/>
        <w:sz w:val="22"/>
        <w14:textFill>
          <w14:solidFill>
            <w14:schemeClr w14:val="accent2"/>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ed7d31" w:themeColor="accent2"/>
        <w:sz w:val="22"/>
        <w14:textFill>
          <w14:solidFill>
            <w14:schemeClr w14:val="accent2"/>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ed7d31" w:themeColor="accent2"/>
        <w:sz w:val="22"/>
        <w14:textFill>
          <w14:solidFill>
            <w14:schemeClr w14:val="accent2"/>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8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8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c000" w:themeColor="accent4"/>
        <w:sz w:val="22"/>
        <w14:textFill>
          <w14:solidFill>
            <w14:schemeClr w14:val="accent4"/>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c000" w:themeColor="accent4"/>
        <w:sz w:val="22"/>
        <w14:textFill>
          <w14:solidFill>
            <w14:schemeClr w14:val="accent4"/>
          </w14:solidFill>
        </w14:textFill>
      </w:rPr>
    </w:tblStylePr>
    <w:tblStylePr w:type="firstCol">
      <w:rPr>
        <w:rFonts w:ascii="Arial" w:hAnsi="Arial"/>
        <w:i/>
        <w:color w:val="ffc000" w:themeColor="accent4"/>
        <w:sz w:val="22"/>
        <w14:textFill>
          <w14:solidFill>
            <w14:schemeClr w14:val="accent4"/>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c000" w:themeColor="accent4"/>
        <w:sz w:val="22"/>
        <w14:textFill>
          <w14:solidFill>
            <w14:schemeClr w14:val="accent4"/>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c000" w:themeColor="accent4"/>
        <w:sz w:val="22"/>
        <w14:textFill>
          <w14:solidFill>
            <w14:schemeClr w14:val="accent4"/>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c000" w:themeColor="accent4"/>
        <w:sz w:val="22"/>
        <w14:textFill>
          <w14:solidFill>
            <w14:schemeClr w14:val="accent4"/>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8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9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2"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93"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94"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95"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96"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597"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9"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00"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01"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02"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03"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04"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6"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07"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08"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09"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10"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11"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3"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7"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28"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ed7d31" w:themeColor="accent2"/>
        <w:sz w:val="22"/>
        <w14:textFill>
          <w14:solidFill>
            <w14:schemeClr w14:val="accent2"/>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ed7d31" w:themeColor="accent2"/>
        <w:sz w:val="22"/>
        <w14:textFill>
          <w14:solidFill>
            <w14:schemeClr w14:val="accent2"/>
          </w14:solidFill>
        </w14:textFill>
      </w:rPr>
    </w:tblStylePr>
    <w:tblStylePr w:type="firstCol">
      <w:rPr>
        <w:b/>
        <w:color w:val="ed7d31" w:themeColor="accent2"/>
        <w14:textFill>
          <w14:solidFill>
            <w14:schemeClr w14:val="accent2"/>
          </w14:solidFill>
        </w14:textFill>
      </w:rPr>
    </w:tblStylePr>
    <w:tblStylePr w:type="firstRow">
      <w:rPr>
        <w:b/>
        <w:color w:val="ed7d31" w:themeColor="accent2"/>
        <w14:textFill>
          <w14:solidFill>
            <w14:schemeClr w14:val="accent2"/>
          </w14:solidFill>
        </w14:textFill>
      </w:rPr>
      <w:tcPr>
        <w:tcBorders>
          <w:bottom w:val="single" w:color="F4B285" w:themeColor="accent2" w:themeTint="97" w:sz="4" w:space="0"/>
        </w:tcBorders>
      </w:tcPr>
    </w:tblStylePr>
    <w:tblStylePr w:type="lastCol">
      <w:rPr>
        <w:b/>
        <w:color w:val="ed7d31" w:themeColor="accent2"/>
        <w14:textFill>
          <w14:solidFill>
            <w14:schemeClr w14:val="accent2"/>
          </w14:solidFill>
        </w14:textFill>
      </w:rPr>
    </w:tblStylePr>
    <w:tblStylePr w:type="lastRow">
      <w:rPr>
        <w:b/>
        <w:color w:val="ed7d31" w:themeColor="accent2"/>
        <w14:textFill>
          <w14:solidFill>
            <w14:schemeClr w14:val="accent2"/>
          </w14:solidFill>
        </w14:textFill>
      </w:rPr>
      <w:tcPr>
        <w:tcBorders>
          <w:top w:val="single" w:color="F4B285" w:themeColor="accent2" w:themeTint="97" w:sz="4" w:space="0"/>
        </w:tcBorders>
      </w:tcPr>
    </w:tblStylePr>
  </w:style>
  <w:style w:type="table" w:styleId="1629"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C9C9C9" w:themeColor="accent3" w:themeTint="98" w:sz="4"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cPr>
        <w:tcBorders>
          <w:top w:val="single" w:color="C9C9C9" w:themeColor="accent3" w:themeTint="98" w:sz="4" w:space="0"/>
        </w:tcBorders>
      </w:tcPr>
    </w:tblStylePr>
  </w:style>
  <w:style w:type="table" w:styleId="1630"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c000" w:themeColor="accent4"/>
        <w:sz w:val="22"/>
        <w14:textFill>
          <w14:solidFill>
            <w14:schemeClr w14:val="accent4"/>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c000" w:themeColor="accent4"/>
        <w:sz w:val="22"/>
        <w14:textFill>
          <w14:solidFill>
            <w14:schemeClr w14:val="accent4"/>
          </w14:solidFill>
        </w14:textFill>
      </w:rPr>
    </w:tblStylePr>
    <w:tblStylePr w:type="firstCol">
      <w:rPr>
        <w:b/>
        <w:color w:val="ffc000" w:themeColor="accent4"/>
        <w14:textFill>
          <w14:solidFill>
            <w14:schemeClr w14:val="accent4"/>
          </w14:solidFill>
        </w14:textFill>
      </w:rPr>
    </w:tblStylePr>
    <w:tblStylePr w:type="firstRow">
      <w:rPr>
        <w:b/>
        <w:color w:val="ffc000" w:themeColor="accent4"/>
        <w14:textFill>
          <w14:solidFill>
            <w14:schemeClr w14:val="accent4"/>
          </w14:solidFill>
        </w14:textFill>
      </w:rPr>
      <w:tcPr>
        <w:tcBorders>
          <w:bottom w:val="single" w:color="FFD864" w:themeColor="accent4" w:themeTint="9A" w:sz="4" w:space="0"/>
        </w:tcBorders>
      </w:tcPr>
    </w:tblStylePr>
    <w:tblStylePr w:type="lastCol">
      <w:rPr>
        <w:b/>
        <w:color w:val="ffc000" w:themeColor="accent4"/>
        <w14:textFill>
          <w14:solidFill>
            <w14:schemeClr w14:val="accent4"/>
          </w14:solidFill>
        </w14:textFill>
      </w:rPr>
    </w:tblStylePr>
    <w:tblStylePr w:type="lastRow">
      <w:rPr>
        <w:b/>
        <w:color w:val="ffc000" w:themeColor="accent4"/>
        <w14:textFill>
          <w14:solidFill>
            <w14:schemeClr w14:val="accent4"/>
          </w14:solidFill>
        </w14:textFill>
      </w:rPr>
      <w:tcPr>
        <w:tcBorders>
          <w:top w:val="single" w:color="FFD864" w:themeColor="accent4" w:themeTint="9A" w:sz="4" w:space="0"/>
        </w:tcBorders>
      </w:tcPr>
    </w:tblStylePr>
  </w:style>
  <w:style w:type="table" w:styleId="1631"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5b9bd5" w:themeColor="accent5"/>
        <w:sz w:val="22"/>
        <w14:textFill>
          <w14:solidFill>
            <w14:schemeClr w14:val="accent5"/>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5b9bd5" w:themeColor="accent5"/>
        <w:sz w:val="22"/>
        <w14:textFill>
          <w14:solidFill>
            <w14:schemeClr w14:val="accent5"/>
          </w14:solidFill>
        </w14:textFill>
      </w:rPr>
    </w:tblStylePr>
    <w:tblStylePr w:type="firstCol">
      <w:rPr>
        <w:b/>
        <w:color w:val="5b9bd5" w:themeColor="accent5"/>
        <w14:textFill>
          <w14:solidFill>
            <w14:schemeClr w14:val="accent5"/>
          </w14:solidFill>
        </w14:textFill>
      </w:rPr>
    </w:tblStylePr>
    <w:tblStylePr w:type="firstRow">
      <w:rPr>
        <w:b/>
        <w:color w:val="5b9bd5" w:themeColor="accent5"/>
        <w14:textFill>
          <w14:solidFill>
            <w14:schemeClr w14:val="accent5"/>
          </w14:solidFill>
        </w14:textFill>
      </w:rPr>
      <w:tcPr>
        <w:tcBorders>
          <w:bottom w:val="single" w:color="9BC2E5" w:themeColor="accent5" w:themeTint="9A" w:sz="4" w:space="0"/>
        </w:tcBorders>
      </w:tcPr>
    </w:tblStylePr>
    <w:tblStylePr w:type="lastCol">
      <w:rPr>
        <w:b/>
        <w:color w:val="5b9bd5" w:themeColor="accent5"/>
        <w14:textFill>
          <w14:solidFill>
            <w14:schemeClr w14:val="accent5"/>
          </w14:solidFill>
        </w14:textFill>
      </w:rPr>
    </w:tblStylePr>
    <w:tblStylePr w:type="lastRow">
      <w:rPr>
        <w:b/>
        <w:color w:val="5b9bd5" w:themeColor="accent5"/>
        <w14:textFill>
          <w14:solidFill>
            <w14:schemeClr w14:val="accent5"/>
          </w14:solidFill>
        </w14:textFill>
      </w:rPr>
      <w:tcPr>
        <w:tcBorders>
          <w:top w:val="single" w:color="9BC2E5" w:themeColor="accent5" w:themeTint="9A" w:sz="4" w:space="0"/>
        </w:tcBorders>
      </w:tcPr>
    </w:tblStylePr>
  </w:style>
  <w:style w:type="table" w:styleId="1632"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70ad47" w:themeColor="accent6"/>
        <w:sz w:val="22"/>
        <w14:textFill>
          <w14:solidFill>
            <w14:schemeClr w14:val="accent6"/>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70ad47" w:themeColor="accent6"/>
        <w:sz w:val="22"/>
        <w14:textFill>
          <w14:solidFill>
            <w14:schemeClr w14:val="accent6"/>
          </w14:solidFill>
        </w14:textFill>
      </w:rPr>
    </w:tblStylePr>
    <w:tblStylePr w:type="firstCol">
      <w:rPr>
        <w:b/>
        <w:color w:val="70ad47" w:themeColor="accent6"/>
        <w14:textFill>
          <w14:solidFill>
            <w14:schemeClr w14:val="accent6"/>
          </w14:solidFill>
        </w14:textFill>
      </w:rPr>
    </w:tblStylePr>
    <w:tblStylePr w:type="firstRow">
      <w:rPr>
        <w:b/>
        <w:color w:val="70ad47" w:themeColor="accent6"/>
        <w14:textFill>
          <w14:solidFill>
            <w14:schemeClr w14:val="accent6"/>
          </w14:solidFill>
        </w14:textFill>
      </w:rPr>
      <w:tcPr>
        <w:tcBorders>
          <w:bottom w:val="single" w:color="A9D08E" w:themeColor="accent6" w:themeTint="98" w:sz="4" w:space="0"/>
        </w:tcBorders>
      </w:tcPr>
    </w:tblStylePr>
    <w:tblStylePr w:type="lastCol">
      <w:rPr>
        <w:b/>
        <w:color w:val="70ad47" w:themeColor="accent6"/>
        <w14:textFill>
          <w14:solidFill>
            <w14:schemeClr w14:val="accent6"/>
          </w14:solidFill>
        </w14:textFill>
      </w:rPr>
    </w:tblStylePr>
    <w:tblStylePr w:type="lastRow">
      <w:rPr>
        <w:b/>
        <w:color w:val="70ad47" w:themeColor="accent6"/>
        <w14:textFill>
          <w14:solidFill>
            <w14:schemeClr w14:val="accent6"/>
          </w14:solidFill>
        </w14:textFill>
      </w:rPr>
      <w:tcPr>
        <w:tcBorders>
          <w:top w:val="single" w:color="A9D08E" w:themeColor="accent6" w:themeTint="98" w:sz="4" w:space="0"/>
        </w:tcBorders>
      </w:tcPr>
    </w:tblStylePr>
  </w:style>
  <w:style w:type="table" w:styleId="16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rFonts w:ascii="Arial" w:hAnsi="Arial"/>
        <w:i/>
        <w:color w:val="000000" w:themeColor="text1"/>
        <w:sz w:val="22"/>
        <w14:textFill>
          <w14:solidFill>
            <w14:schemeClr w14:val="tx1"/>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000000" w:themeColor="text1"/>
        <w:sz w:val="22"/>
        <w14:textFill>
          <w14:solidFill>
            <w14:schemeClr w14:val="tx1"/>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000000" w:themeColor="text1"/>
        <w:sz w:val="22"/>
        <w14:textFill>
          <w14:solidFill>
            <w14:schemeClr w14:val="tx1"/>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000000" w:themeColor="text1"/>
        <w:sz w:val="22"/>
        <w14:textFill>
          <w14:solidFill>
            <w14:schemeClr w14:val="tx1"/>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35"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ed7d31" w:themeColor="accent2"/>
        <w:sz w:val="22"/>
        <w14:textFill>
          <w14:solidFill>
            <w14:schemeClr w14:val="accent2"/>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ed7d31" w:themeColor="accent2"/>
        <w:sz w:val="22"/>
        <w14:textFill>
          <w14:solidFill>
            <w14:schemeClr w14:val="accent2"/>
          </w14:solidFill>
        </w14:textFill>
      </w:rPr>
    </w:tblStylePr>
    <w:tblStylePr w:type="firstCol">
      <w:rPr>
        <w:rFonts w:ascii="Arial" w:hAnsi="Arial"/>
        <w:i/>
        <w:color w:val="ed7d31" w:themeColor="accent2"/>
        <w:sz w:val="22"/>
        <w14:textFill>
          <w14:solidFill>
            <w14:schemeClr w14:val="accent2"/>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ed7d31" w:themeColor="accent2"/>
        <w:sz w:val="22"/>
        <w14:textFill>
          <w14:solidFill>
            <w14:schemeClr w14:val="accent2"/>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ed7d31" w:themeColor="accent2"/>
        <w:sz w:val="22"/>
        <w14:textFill>
          <w14:solidFill>
            <w14:schemeClr w14:val="accent2"/>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ed7d31" w:themeColor="accent2"/>
        <w:sz w:val="22"/>
        <w14:textFill>
          <w14:solidFill>
            <w14:schemeClr w14:val="accent2"/>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3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a5a5a5" w:themeColor="accent3"/>
        <w:sz w:val="22"/>
        <w14:textFill>
          <w14:solidFill>
            <w14:schemeClr w14:val="accent3"/>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37"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c000" w:themeColor="accent4"/>
        <w:sz w:val="22"/>
        <w14:textFill>
          <w14:solidFill>
            <w14:schemeClr w14:val="accent4"/>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c000" w:themeColor="accent4"/>
        <w:sz w:val="22"/>
        <w14:textFill>
          <w14:solidFill>
            <w14:schemeClr w14:val="accent4"/>
          </w14:solidFill>
        </w14:textFill>
      </w:rPr>
    </w:tblStylePr>
    <w:tblStylePr w:type="firstCol">
      <w:rPr>
        <w:rFonts w:ascii="Arial" w:hAnsi="Arial"/>
        <w:i/>
        <w:color w:val="ffc000" w:themeColor="accent4"/>
        <w:sz w:val="22"/>
        <w14:textFill>
          <w14:solidFill>
            <w14:schemeClr w14:val="accent4"/>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c000" w:themeColor="accent4"/>
        <w:sz w:val="22"/>
        <w14:textFill>
          <w14:solidFill>
            <w14:schemeClr w14:val="accent4"/>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c000" w:themeColor="accent4"/>
        <w:sz w:val="22"/>
        <w14:textFill>
          <w14:solidFill>
            <w14:schemeClr w14:val="accent4"/>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c000" w:themeColor="accent4"/>
        <w:sz w:val="22"/>
        <w14:textFill>
          <w14:solidFill>
            <w14:schemeClr w14:val="accent4"/>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38"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5b9bd5" w:themeColor="accent5"/>
        <w:sz w:val="22"/>
        <w14:textFill>
          <w14:solidFill>
            <w14:schemeClr w14:val="accent5"/>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5b9bd5" w:themeColor="accent5"/>
        <w:sz w:val="22"/>
        <w14:textFill>
          <w14:solidFill>
            <w14:schemeClr w14:val="accent5"/>
          </w14:solidFill>
        </w14:textFill>
      </w:rPr>
    </w:tblStylePr>
    <w:tblStylePr w:type="firstCol">
      <w:rPr>
        <w:rFonts w:ascii="Arial" w:hAnsi="Arial"/>
        <w:i/>
        <w:color w:val="5b9bd5" w:themeColor="accent5"/>
        <w:sz w:val="22"/>
        <w14:textFill>
          <w14:solidFill>
            <w14:schemeClr w14:val="accent5"/>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5b9bd5" w:themeColor="accent5"/>
        <w:sz w:val="22"/>
        <w14:textFill>
          <w14:solidFill>
            <w14:schemeClr w14:val="accent5"/>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5b9bd5" w:themeColor="accent5"/>
        <w:sz w:val="22"/>
        <w14:textFill>
          <w14:solidFill>
            <w14:schemeClr w14:val="accent5"/>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5b9bd5" w:themeColor="accent5"/>
        <w:sz w:val="22"/>
        <w14:textFill>
          <w14:solidFill>
            <w14:schemeClr w14:val="accent5"/>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3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70ad47" w:themeColor="accent6"/>
        <w:sz w:val="22"/>
        <w14:textFill>
          <w14:solidFill>
            <w14:schemeClr w14:val="accent6"/>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70ad47" w:themeColor="accent6"/>
        <w:sz w:val="22"/>
        <w14:textFill>
          <w14:solidFill>
            <w14:schemeClr w14:val="accent6"/>
          </w14:solidFill>
        </w14:textFill>
      </w:rPr>
    </w:tblStylePr>
    <w:tblStylePr w:type="firstCol">
      <w:rPr>
        <w:rFonts w:ascii="Arial" w:hAnsi="Arial"/>
        <w:i/>
        <w:color w:val="70ad47" w:themeColor="accent6"/>
        <w:sz w:val="22"/>
        <w14:textFill>
          <w14:solidFill>
            <w14:schemeClr w14:val="accent6"/>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70ad47" w:themeColor="accent6"/>
        <w:sz w:val="22"/>
        <w14:textFill>
          <w14:solidFill>
            <w14:schemeClr w14:val="accent6"/>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70ad47" w:themeColor="accent6"/>
        <w:sz w:val="22"/>
        <w14:textFill>
          <w14:solidFill>
            <w14:schemeClr w14:val="accent6"/>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70ad47" w:themeColor="accent6"/>
        <w:sz w:val="22"/>
        <w14:textFill>
          <w14:solidFill>
            <w14:schemeClr w14:val="accent6"/>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8"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4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5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1"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2"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3"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5"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5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5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58"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59"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6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61">
    <w:name w:val="Hyperlink"/>
    <w:uiPriority w:val="99"/>
    <w:unhideWhenUsed/>
    <w:qFormat/>
    <w:rPr>
      <w:color w:val="0563c1" w:themeColor="hyperlink"/>
      <w:u w:val="single"/>
      <w14:textFill>
        <w14:solidFill>
          <w14:schemeClr w14:val="hlink"/>
        </w14:solidFill>
      </w14:textFill>
    </w:rPr>
  </w:style>
  <w:style w:type="paragraph" w:styleId="1662">
    <w:name w:val="footnote text"/>
    <w:link w:val="1663"/>
    <w:uiPriority w:val="99"/>
    <w:semiHidden/>
    <w:unhideWhenUsed/>
    <w:qFormat/>
    <w:pPr>
      <w:spacing w:after="40"/>
    </w:pPr>
    <w:rPr>
      <w:rFonts w:hint="default" w:asciiTheme="minorHAnsi" w:hAnsiTheme="minorHAnsi" w:eastAsiaTheme="minorEastAsia" w:cstheme="minorBidi"/>
      <w:sz w:val="18"/>
    </w:rPr>
  </w:style>
  <w:style w:type="character" w:styleId="1663" w:customStyle="1">
    <w:name w:val="脚注文本 字符"/>
    <w:link w:val="1662"/>
    <w:uiPriority w:val="99"/>
    <w:qFormat/>
    <w:rPr>
      <w:sz w:val="18"/>
    </w:rPr>
  </w:style>
  <w:style w:type="character" w:styleId="1664">
    <w:name w:val="footnote reference"/>
    <w:basedOn w:val="1471"/>
    <w:uiPriority w:val="99"/>
    <w:unhideWhenUsed/>
    <w:qFormat/>
    <w:rPr>
      <w:vertAlign w:val="superscript"/>
    </w:rPr>
  </w:style>
  <w:style w:type="paragraph" w:styleId="1665">
    <w:name w:val="endnote text"/>
    <w:link w:val="1666"/>
    <w:uiPriority w:val="99"/>
    <w:semiHidden/>
    <w:unhideWhenUsed/>
    <w:qFormat/>
    <w:rPr>
      <w:rFonts w:hint="default" w:asciiTheme="minorHAnsi" w:hAnsiTheme="minorHAnsi" w:eastAsiaTheme="minorEastAsia" w:cstheme="minorBidi"/>
    </w:rPr>
  </w:style>
  <w:style w:type="character" w:styleId="1666" w:customStyle="1">
    <w:name w:val="尾注文本 字符"/>
    <w:link w:val="1665"/>
    <w:uiPriority w:val="99"/>
    <w:qFormat/>
    <w:rPr>
      <w:sz w:val="20"/>
    </w:rPr>
  </w:style>
  <w:style w:type="character" w:styleId="1667">
    <w:name w:val="endnote reference"/>
    <w:basedOn w:val="1471"/>
    <w:uiPriority w:val="99"/>
    <w:semiHidden/>
    <w:unhideWhenUsed/>
    <w:qFormat/>
    <w:rPr>
      <w:vertAlign w:val="superscript"/>
    </w:rPr>
  </w:style>
  <w:style w:type="paragraph" w:styleId="1668">
    <w:name w:val="toc 1"/>
    <w:uiPriority w:val="39"/>
    <w:unhideWhenUsed/>
    <w:qFormat/>
    <w:pPr>
      <w:spacing w:after="57"/>
    </w:pPr>
    <w:rPr>
      <w:rFonts w:hint="default" w:asciiTheme="minorHAnsi" w:hAnsiTheme="minorHAnsi" w:eastAsiaTheme="minorEastAsia" w:cstheme="minorBidi"/>
    </w:rPr>
  </w:style>
  <w:style w:type="paragraph" w:styleId="1669">
    <w:name w:val="toc 2"/>
    <w:uiPriority w:val="39"/>
    <w:unhideWhenUsed/>
    <w:qFormat/>
    <w:pPr>
      <w:ind w:left="283"/>
      <w:spacing w:after="57"/>
    </w:pPr>
    <w:rPr>
      <w:rFonts w:hint="default" w:asciiTheme="minorHAnsi" w:hAnsiTheme="minorHAnsi" w:eastAsiaTheme="minorEastAsia" w:cstheme="minorBidi"/>
    </w:rPr>
  </w:style>
  <w:style w:type="paragraph" w:styleId="1670">
    <w:name w:val="toc 3"/>
    <w:uiPriority w:val="39"/>
    <w:unhideWhenUsed/>
    <w:qFormat/>
    <w:pPr>
      <w:ind w:left="567"/>
      <w:spacing w:after="57"/>
    </w:pPr>
    <w:rPr>
      <w:rFonts w:hint="default" w:asciiTheme="minorHAnsi" w:hAnsiTheme="minorHAnsi" w:eastAsiaTheme="minorEastAsia" w:cstheme="minorBidi"/>
    </w:rPr>
  </w:style>
  <w:style w:type="paragraph" w:styleId="1671">
    <w:name w:val="toc 4"/>
    <w:uiPriority w:val="39"/>
    <w:unhideWhenUsed/>
    <w:qFormat/>
    <w:pPr>
      <w:ind w:left="850"/>
      <w:spacing w:after="57"/>
    </w:pPr>
    <w:rPr>
      <w:rFonts w:hint="default" w:asciiTheme="minorHAnsi" w:hAnsiTheme="minorHAnsi" w:eastAsiaTheme="minorEastAsia" w:cstheme="minorBidi"/>
    </w:rPr>
  </w:style>
  <w:style w:type="paragraph" w:styleId="1672">
    <w:name w:val="toc 5"/>
    <w:uiPriority w:val="39"/>
    <w:unhideWhenUsed/>
    <w:qFormat/>
    <w:pPr>
      <w:ind w:left="1134"/>
      <w:spacing w:after="57"/>
    </w:pPr>
    <w:rPr>
      <w:rFonts w:hint="default" w:asciiTheme="minorHAnsi" w:hAnsiTheme="minorHAnsi" w:eastAsiaTheme="minorEastAsia" w:cstheme="minorBidi"/>
    </w:rPr>
  </w:style>
  <w:style w:type="paragraph" w:styleId="1673">
    <w:name w:val="toc 6"/>
    <w:uiPriority w:val="39"/>
    <w:unhideWhenUsed/>
    <w:qFormat/>
    <w:pPr>
      <w:ind w:left="1417"/>
      <w:spacing w:after="57"/>
    </w:pPr>
    <w:rPr>
      <w:rFonts w:hint="default" w:asciiTheme="minorHAnsi" w:hAnsiTheme="minorHAnsi" w:eastAsiaTheme="minorEastAsia" w:cstheme="minorBidi"/>
    </w:rPr>
  </w:style>
  <w:style w:type="paragraph" w:styleId="1674">
    <w:name w:val="toc 7"/>
    <w:uiPriority w:val="39"/>
    <w:unhideWhenUsed/>
    <w:qFormat/>
    <w:pPr>
      <w:ind w:left="1701"/>
      <w:spacing w:after="57"/>
    </w:pPr>
    <w:rPr>
      <w:rFonts w:hint="default" w:asciiTheme="minorHAnsi" w:hAnsiTheme="minorHAnsi" w:eastAsiaTheme="minorEastAsia" w:cstheme="minorBidi"/>
    </w:rPr>
  </w:style>
  <w:style w:type="paragraph" w:styleId="1675">
    <w:name w:val="toc 8"/>
    <w:uiPriority w:val="39"/>
    <w:unhideWhenUsed/>
    <w:qFormat/>
    <w:pPr>
      <w:ind w:left="1984"/>
      <w:spacing w:after="57"/>
    </w:pPr>
    <w:rPr>
      <w:rFonts w:hint="default" w:asciiTheme="minorHAnsi" w:hAnsiTheme="minorHAnsi" w:eastAsiaTheme="minorEastAsia" w:cstheme="minorBidi"/>
    </w:rPr>
  </w:style>
  <w:style w:type="paragraph" w:styleId="1676">
    <w:name w:val="toc 9"/>
    <w:uiPriority w:val="39"/>
    <w:unhideWhenUsed/>
    <w:qFormat/>
    <w:pPr>
      <w:ind w:left="2268"/>
      <w:spacing w:after="57"/>
    </w:pPr>
    <w:rPr>
      <w:rFonts w:hint="default" w:asciiTheme="minorHAnsi" w:hAnsiTheme="minorHAnsi" w:eastAsiaTheme="minorEastAsia" w:cstheme="minorBidi"/>
    </w:rPr>
  </w:style>
  <w:style w:type="paragraph" w:styleId="1677" w:customStyle="1">
    <w:name w:val="TOC 标题1"/>
    <w:uiPriority w:val="39"/>
    <w:unhideWhenUsed/>
    <w:qFormat/>
    <w:rPr>
      <w:rFonts w:hint="default" w:asciiTheme="minorHAnsi" w:hAnsiTheme="minorHAnsi" w:eastAsiaTheme="minorEastAsia" w:cstheme="minorBidi"/>
    </w:rPr>
  </w:style>
  <w:style w:type="paragraph" w:styleId="1678">
    <w:name w:val="table of figures"/>
    <w:uiPriority w:val="99"/>
    <w:unhideWhenUsed/>
    <w:qFormat/>
    <w:rPr>
      <w:rFonts w:hint="default" w:asciiTheme="minorHAnsi" w:hAnsiTheme="minorHAnsi" w:eastAsiaTheme="minorEastAsia" w:cstheme="minorBidi"/>
    </w:rPr>
  </w:style>
  <w:style w:type="paragraph" w:styleId="167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rPr>
  </w:style>
  <w:style w:type="character" w:styleId="1680">
    <w:name w:val="Placeholder Text"/>
    <w:basedOn w:val="1471"/>
    <w:uiPriority w:val="99"/>
    <w:unhideWhenUsed/>
    <w:qFormat/>
    <w:rPr>
      <w:color w:val="808080"/>
    </w:rPr>
  </w:style>
  <w:style w:type="numbering" w:styleId="168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8587AB-9076-42BC-94B6-DD6D5CEDFA01}"/>
</file>

<file path=customXml/itemProps3.xml><?xml version="1.0" encoding="utf-8"?>
<ds:datastoreItem xmlns:ds="http://schemas.openxmlformats.org/officeDocument/2006/customXml" ds:itemID="{E39C093C-A2D8-40EC-A960-00BA82C54CD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陈沭</cp:lastModifiedBy>
  <cp:revision>56</cp:revision>
  <dcterms:created xsi:type="dcterms:W3CDTF">2025-01-17T01:56:00Z</dcterms:created>
  <dcterms:modified xsi:type="dcterms:W3CDTF">2025-11-14T04:32:47Z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7BD0E39CB8794CAC9277A4DE3B3E7F47_13</vt:lpwstr>
  </property>
  <property fmtid="{D5CDD505-2E9C-101B-9397-08002B2CF9AE}" pid="4" name="KSOTemplateDocerSaveRecord">
    <vt:lpwstr>eyJoZGlkIjoiNTE3ODBhODAwYWZlYmM2Zjk2MjA5ZjdiYTk1Y2U0OTQiLCJ1c2VySWQiOiI5NTc1NDY5NDYifQ==</vt:lpwstr>
  </property>
</Properties>
</file>